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2"/>
        <w:gridCol w:w="1701"/>
        <w:gridCol w:w="992"/>
        <w:gridCol w:w="179"/>
        <w:gridCol w:w="1518"/>
        <w:gridCol w:w="3116"/>
      </w:tblGrid>
      <w:tr w:rsidR="00F85797" w:rsidRPr="00BA5C85" w14:paraId="49433FE8" w14:textId="77777777" w:rsidTr="00FD61C8">
        <w:trPr>
          <w:cantSplit/>
        </w:trPr>
        <w:tc>
          <w:tcPr>
            <w:tcW w:w="9628" w:type="dxa"/>
            <w:gridSpan w:val="6"/>
            <w:vAlign w:val="center"/>
          </w:tcPr>
          <w:p w14:paraId="7904D3EE" w14:textId="77777777" w:rsidR="00F85797" w:rsidRPr="00BA5C85" w:rsidRDefault="00333C21" w:rsidP="007B39BB">
            <w:pPr>
              <w:spacing w:before="0" w:after="0"/>
              <w:rPr>
                <w:b/>
                <w:sz w:val="22"/>
                <w:szCs w:val="22"/>
              </w:rPr>
            </w:pPr>
            <w:r w:rsidRPr="00BA5C85">
              <w:rPr>
                <w:b/>
                <w:sz w:val="22"/>
                <w:szCs w:val="22"/>
              </w:rPr>
              <w:t xml:space="preserve">Angaben zur </w:t>
            </w:r>
            <w:r w:rsidR="004A17DC">
              <w:rPr>
                <w:b/>
                <w:sz w:val="22"/>
                <w:szCs w:val="22"/>
              </w:rPr>
              <w:t>Konformitätsbewertungsstelle (KBS)</w:t>
            </w:r>
          </w:p>
        </w:tc>
      </w:tr>
      <w:tr w:rsidR="00762635" w:rsidRPr="00BA5C85" w14:paraId="37A5E501" w14:textId="77777777" w:rsidTr="007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9625" w:type="dxa"/>
            <w:gridSpan w:val="6"/>
            <w:tcBorders>
              <w:top w:val="single" w:sz="4" w:space="0" w:color="auto"/>
              <w:left w:val="single" w:sz="4" w:space="0" w:color="auto"/>
              <w:bottom w:val="single" w:sz="4" w:space="0" w:color="auto"/>
              <w:right w:val="single" w:sz="6" w:space="0" w:color="auto"/>
            </w:tcBorders>
            <w:shd w:val="clear" w:color="auto" w:fill="FFF2CC" w:themeFill="accent4" w:themeFillTint="33"/>
          </w:tcPr>
          <w:p w14:paraId="33F7773B" w14:textId="77777777" w:rsidR="00762635" w:rsidRPr="00BA5C85" w:rsidRDefault="00762635" w:rsidP="00762635">
            <w:pPr>
              <w:spacing w:before="60" w:after="0"/>
              <w:ind w:left="369" w:hanging="369"/>
              <w:rPr>
                <w:rFonts w:cs="Arial"/>
                <w:bCs/>
                <w:sz w:val="22"/>
                <w:szCs w:val="22"/>
              </w:rPr>
            </w:pPr>
            <w:r w:rsidRPr="00BA5C85">
              <w:rPr>
                <w:rFonts w:cs="Calibri"/>
                <w:sz w:val="22"/>
                <w:szCs w:val="22"/>
              </w:rPr>
              <w:fldChar w:fldCharType="begin">
                <w:ffData>
                  <w:name w:val="Kontrollkästchen1"/>
                  <w:enabled/>
                  <w:calcOnExit w:val="0"/>
                  <w:checkBox>
                    <w:sizeAuto/>
                    <w:default w:val="0"/>
                    <w:checked w:val="0"/>
                  </w:checkBox>
                </w:ffData>
              </w:fldChar>
            </w:r>
            <w:r w:rsidRPr="00BA5C85">
              <w:rPr>
                <w:rFonts w:cs="Calibri"/>
                <w:sz w:val="22"/>
                <w:szCs w:val="22"/>
              </w:rPr>
              <w:instrText xml:space="preserve"> FORMCHECKBOX </w:instrText>
            </w:r>
            <w:r w:rsidR="00650B37">
              <w:rPr>
                <w:rFonts w:cs="Calibri"/>
                <w:sz w:val="22"/>
                <w:szCs w:val="22"/>
              </w:rPr>
            </w:r>
            <w:r w:rsidR="00650B37">
              <w:rPr>
                <w:rFonts w:cs="Calibri"/>
                <w:sz w:val="22"/>
                <w:szCs w:val="22"/>
              </w:rPr>
              <w:fldChar w:fldCharType="separate"/>
            </w:r>
            <w:r w:rsidRPr="00BA5C85">
              <w:rPr>
                <w:rFonts w:cs="Calibri"/>
                <w:sz w:val="22"/>
                <w:szCs w:val="22"/>
              </w:rPr>
              <w:fldChar w:fldCharType="end"/>
            </w:r>
            <w:r w:rsidRPr="00BA5C85">
              <w:tab/>
            </w:r>
            <w:r w:rsidRPr="00BA5C85">
              <w:rPr>
                <w:rFonts w:cs="Arial"/>
                <w:bCs/>
                <w:sz w:val="22"/>
                <w:szCs w:val="22"/>
              </w:rPr>
              <w:t>Prüf</w:t>
            </w:r>
            <w:r>
              <w:rPr>
                <w:rFonts w:cs="Arial"/>
                <w:bCs/>
                <w:sz w:val="22"/>
                <w:szCs w:val="22"/>
              </w:rPr>
              <w:t>labor</w:t>
            </w:r>
            <w:r w:rsidR="004A17DC">
              <w:rPr>
                <w:rFonts w:cs="Arial"/>
                <w:bCs/>
                <w:sz w:val="22"/>
                <w:szCs w:val="22"/>
              </w:rPr>
              <w:t>atorium</w:t>
            </w:r>
            <w:r>
              <w:rPr>
                <w:rFonts w:cs="Arial"/>
                <w:bCs/>
                <w:sz w:val="22"/>
                <w:szCs w:val="22"/>
              </w:rPr>
              <w:t xml:space="preserve"> </w:t>
            </w:r>
            <w:r w:rsidR="004A17DC" w:rsidRPr="00131FFB">
              <w:rPr>
                <w:sz w:val="22"/>
                <w:szCs w:val="22"/>
              </w:rPr>
              <w:t>gemäß DIN EN ISO/IEC 1702</w:t>
            </w:r>
            <w:r w:rsidR="00D518B1">
              <w:rPr>
                <w:sz w:val="22"/>
                <w:szCs w:val="22"/>
              </w:rPr>
              <w:t>5</w:t>
            </w:r>
            <w:r w:rsidR="004A17DC" w:rsidRPr="00BA5C85">
              <w:t xml:space="preserve"> </w:t>
            </w:r>
            <w:r w:rsidRPr="00BA5C85">
              <w:rPr>
                <w:rFonts w:cs="Arial"/>
                <w:bCs/>
                <w:sz w:val="22"/>
                <w:szCs w:val="22"/>
              </w:rPr>
              <w:t xml:space="preserve">für </w:t>
            </w:r>
            <w:r w:rsidR="004A17DC">
              <w:rPr>
                <w:rFonts w:cs="Arial"/>
                <w:bCs/>
                <w:sz w:val="22"/>
                <w:szCs w:val="22"/>
              </w:rPr>
              <w:t xml:space="preserve">eine </w:t>
            </w:r>
            <w:r w:rsidRPr="00BA5C85">
              <w:rPr>
                <w:rFonts w:cs="Arial"/>
                <w:bCs/>
                <w:sz w:val="22"/>
                <w:szCs w:val="22"/>
              </w:rPr>
              <w:t xml:space="preserve">Notifizierung nach </w:t>
            </w:r>
            <w:r>
              <w:rPr>
                <w:rFonts w:cs="Arial"/>
                <w:bCs/>
                <w:sz w:val="22"/>
                <w:szCs w:val="22"/>
              </w:rPr>
              <w:t xml:space="preserve">VO </w:t>
            </w:r>
            <w:r w:rsidRPr="00D425EA">
              <w:rPr>
                <w:rFonts w:cs="Arial"/>
                <w:bCs/>
                <w:sz w:val="22"/>
                <w:szCs w:val="22"/>
              </w:rPr>
              <w:t>2019/881</w:t>
            </w:r>
            <w:r>
              <w:rPr>
                <w:rFonts w:cs="Arial"/>
                <w:bCs/>
                <w:sz w:val="22"/>
                <w:szCs w:val="22"/>
              </w:rPr>
              <w:t xml:space="preserve"> Artikel 61</w:t>
            </w:r>
          </w:p>
        </w:tc>
      </w:tr>
      <w:tr w:rsidR="00762635" w:rsidRPr="00BA5C85" w14:paraId="64169E70" w14:textId="77777777" w:rsidTr="00762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9625" w:type="dxa"/>
            <w:gridSpan w:val="6"/>
            <w:tcBorders>
              <w:top w:val="single" w:sz="6" w:space="0" w:color="auto"/>
              <w:left w:val="single" w:sz="4" w:space="0" w:color="auto"/>
              <w:bottom w:val="single" w:sz="6" w:space="0" w:color="auto"/>
              <w:right w:val="single" w:sz="6" w:space="0" w:color="auto"/>
            </w:tcBorders>
            <w:shd w:val="clear" w:color="auto" w:fill="FFF2CC" w:themeFill="accent4" w:themeFillTint="33"/>
          </w:tcPr>
          <w:p w14:paraId="724F37A5" w14:textId="77777777" w:rsidR="00762635" w:rsidRPr="00BA5C85" w:rsidRDefault="00762635" w:rsidP="00762635">
            <w:pPr>
              <w:spacing w:before="60" w:after="0"/>
              <w:ind w:left="369" w:hanging="369"/>
              <w:rPr>
                <w:rFonts w:cs="Calibri"/>
                <w:sz w:val="22"/>
                <w:szCs w:val="22"/>
              </w:rPr>
            </w:pPr>
            <w:r w:rsidRPr="00BA5C85">
              <w:rPr>
                <w:rFonts w:cs="Calibri"/>
                <w:sz w:val="22"/>
                <w:szCs w:val="22"/>
              </w:rPr>
              <w:fldChar w:fldCharType="begin">
                <w:ffData>
                  <w:name w:val="Kontrollkästchen1"/>
                  <w:enabled/>
                  <w:calcOnExit w:val="0"/>
                  <w:checkBox>
                    <w:sizeAuto/>
                    <w:default w:val="0"/>
                    <w:checked w:val="0"/>
                  </w:checkBox>
                </w:ffData>
              </w:fldChar>
            </w:r>
            <w:r w:rsidRPr="00BA5C85">
              <w:rPr>
                <w:rFonts w:cs="Calibri"/>
                <w:sz w:val="22"/>
                <w:szCs w:val="22"/>
              </w:rPr>
              <w:instrText xml:space="preserve"> FORMCHECKBOX </w:instrText>
            </w:r>
            <w:r w:rsidR="00650B37">
              <w:rPr>
                <w:rFonts w:cs="Calibri"/>
                <w:sz w:val="22"/>
                <w:szCs w:val="22"/>
              </w:rPr>
            </w:r>
            <w:r w:rsidR="00650B37">
              <w:rPr>
                <w:rFonts w:cs="Calibri"/>
                <w:sz w:val="22"/>
                <w:szCs w:val="22"/>
              </w:rPr>
              <w:fldChar w:fldCharType="separate"/>
            </w:r>
            <w:r w:rsidRPr="00BA5C85">
              <w:rPr>
                <w:rFonts w:cs="Calibri"/>
                <w:sz w:val="22"/>
                <w:szCs w:val="22"/>
              </w:rPr>
              <w:fldChar w:fldCharType="end"/>
            </w:r>
            <w:r w:rsidRPr="00BA5C85">
              <w:tab/>
            </w:r>
            <w:r w:rsidRPr="00BA5C85">
              <w:rPr>
                <w:rFonts w:cs="Arial"/>
                <w:bCs/>
                <w:sz w:val="22"/>
                <w:szCs w:val="22"/>
              </w:rPr>
              <w:t>Zertifizierungs</w:t>
            </w:r>
            <w:r>
              <w:rPr>
                <w:rFonts w:cs="Arial"/>
                <w:bCs/>
                <w:sz w:val="22"/>
                <w:szCs w:val="22"/>
              </w:rPr>
              <w:t xml:space="preserve">stelle </w:t>
            </w:r>
            <w:r w:rsidR="004A17DC" w:rsidRPr="00131FFB">
              <w:rPr>
                <w:sz w:val="22"/>
                <w:szCs w:val="22"/>
              </w:rPr>
              <w:t>gemäß DIN EN ISO/IEC 1706</w:t>
            </w:r>
            <w:r w:rsidR="00D518B1">
              <w:rPr>
                <w:sz w:val="22"/>
                <w:szCs w:val="22"/>
              </w:rPr>
              <w:t>5</w:t>
            </w:r>
            <w:r w:rsidR="004A17DC" w:rsidRPr="00BA5C85">
              <w:t xml:space="preserve"> </w:t>
            </w:r>
            <w:r w:rsidRPr="00BA5C85">
              <w:rPr>
                <w:rFonts w:cs="Arial"/>
                <w:bCs/>
                <w:sz w:val="22"/>
                <w:szCs w:val="22"/>
              </w:rPr>
              <w:t xml:space="preserve">für </w:t>
            </w:r>
            <w:r w:rsidR="004A17DC">
              <w:rPr>
                <w:rFonts w:cs="Arial"/>
                <w:bCs/>
                <w:sz w:val="22"/>
                <w:szCs w:val="22"/>
              </w:rPr>
              <w:t xml:space="preserve">eine </w:t>
            </w:r>
            <w:r w:rsidRPr="00BA5C85">
              <w:rPr>
                <w:rFonts w:cs="Arial"/>
                <w:bCs/>
                <w:sz w:val="22"/>
                <w:szCs w:val="22"/>
              </w:rPr>
              <w:t xml:space="preserve">Notifizierung nach </w:t>
            </w:r>
            <w:r>
              <w:rPr>
                <w:rFonts w:cs="Arial"/>
                <w:bCs/>
                <w:sz w:val="22"/>
                <w:szCs w:val="22"/>
              </w:rPr>
              <w:t xml:space="preserve">VO </w:t>
            </w:r>
            <w:r w:rsidRPr="00D425EA">
              <w:rPr>
                <w:rFonts w:cs="Arial"/>
                <w:bCs/>
                <w:sz w:val="22"/>
                <w:szCs w:val="22"/>
              </w:rPr>
              <w:t>2019/881</w:t>
            </w:r>
            <w:r>
              <w:rPr>
                <w:rFonts w:cs="Arial"/>
                <w:bCs/>
                <w:sz w:val="22"/>
                <w:szCs w:val="22"/>
              </w:rPr>
              <w:t xml:space="preserve"> Artikel 61</w:t>
            </w:r>
          </w:p>
        </w:tc>
      </w:tr>
      <w:tr w:rsidR="00F85797" w:rsidRPr="00BA5C85" w14:paraId="2A4FBFE3" w14:textId="77777777" w:rsidTr="00FD61C8">
        <w:trPr>
          <w:cantSplit/>
        </w:trPr>
        <w:tc>
          <w:tcPr>
            <w:tcW w:w="2122" w:type="dxa"/>
            <w:vAlign w:val="center"/>
          </w:tcPr>
          <w:p w14:paraId="52C9254C" w14:textId="77777777" w:rsidR="00F85797" w:rsidRPr="00BA5C85" w:rsidRDefault="00F85797" w:rsidP="007B39BB">
            <w:pPr>
              <w:overflowPunct w:val="0"/>
              <w:autoSpaceDE w:val="0"/>
              <w:autoSpaceDN w:val="0"/>
              <w:adjustRightInd w:val="0"/>
              <w:spacing w:before="0" w:after="0"/>
              <w:textAlignment w:val="baseline"/>
              <w:rPr>
                <w:rFonts w:cs="Arial"/>
              </w:rPr>
            </w:pPr>
            <w:r w:rsidRPr="00BA5C85">
              <w:rPr>
                <w:rFonts w:cs="Arial"/>
                <w:bCs/>
              </w:rPr>
              <w:t>Name</w:t>
            </w:r>
            <w:r w:rsidR="004A17DC">
              <w:rPr>
                <w:rFonts w:cs="Arial"/>
                <w:bCs/>
              </w:rPr>
              <w:t xml:space="preserve"> der KBS</w:t>
            </w:r>
            <w:r w:rsidRPr="00BA5C85">
              <w:rPr>
                <w:rFonts w:cs="Arial"/>
                <w:bCs/>
              </w:rPr>
              <w:t>:</w:t>
            </w:r>
          </w:p>
        </w:tc>
        <w:tc>
          <w:tcPr>
            <w:tcW w:w="7506" w:type="dxa"/>
            <w:gridSpan w:val="5"/>
            <w:shd w:val="clear" w:color="auto" w:fill="FFF2CC" w:themeFill="accent4" w:themeFillTint="33"/>
            <w:vAlign w:val="center"/>
          </w:tcPr>
          <w:p w14:paraId="09A8C30F" w14:textId="77777777" w:rsidR="00F85797" w:rsidRPr="00BA5C85" w:rsidRDefault="00F85797" w:rsidP="007B39BB">
            <w:pPr>
              <w:pStyle w:val="Kopfzeile"/>
              <w:overflowPunct w:val="0"/>
              <w:autoSpaceDE w:val="0"/>
              <w:autoSpaceDN w:val="0"/>
              <w:adjustRightInd w:val="0"/>
              <w:spacing w:before="0" w:after="0"/>
              <w:textAlignment w:val="baseline"/>
              <w:rPr>
                <w:rFonts w:ascii="Calibri" w:hAnsi="Calibri" w:cs="Arial"/>
                <w:b/>
                <w:lang w:val="de-DE" w:eastAsia="de-DE"/>
              </w:rPr>
            </w:pPr>
            <w:r w:rsidRPr="00BA5C85">
              <w:rPr>
                <w:rFonts w:ascii="Calibri" w:hAnsi="Calibri"/>
                <w:b/>
                <w:lang w:val="de-DE" w:eastAsia="de-DE"/>
              </w:rPr>
              <w:fldChar w:fldCharType="begin">
                <w:ffData>
                  <w:name w:val="Text37"/>
                  <w:enabled/>
                  <w:calcOnExit w:val="0"/>
                  <w:textInput/>
                </w:ffData>
              </w:fldChar>
            </w:r>
            <w:r w:rsidRPr="00BA5C85">
              <w:rPr>
                <w:rFonts w:ascii="Calibri" w:hAnsi="Calibri"/>
                <w:b/>
                <w:lang w:val="de-DE" w:eastAsia="de-DE"/>
              </w:rPr>
              <w:instrText xml:space="preserve"> FORMTEXT </w:instrText>
            </w:r>
            <w:r w:rsidRPr="00BA5C85">
              <w:rPr>
                <w:rFonts w:ascii="Calibri" w:hAnsi="Calibri"/>
                <w:b/>
                <w:lang w:val="de-DE" w:eastAsia="de-DE"/>
              </w:rPr>
            </w:r>
            <w:r w:rsidRPr="00BA5C85">
              <w:rPr>
                <w:rFonts w:ascii="Calibri" w:hAnsi="Calibri"/>
                <w:b/>
                <w:lang w:val="de-DE" w:eastAsia="de-DE"/>
              </w:rPr>
              <w:fldChar w:fldCharType="separate"/>
            </w:r>
            <w:r w:rsidRPr="00BA5C85">
              <w:rPr>
                <w:rFonts w:ascii="Calibri" w:hAnsi="Calibri"/>
                <w:b/>
                <w:noProof/>
                <w:lang w:val="de-DE" w:eastAsia="de-DE"/>
              </w:rPr>
              <w:t> </w:t>
            </w:r>
            <w:r w:rsidRPr="00BA5C85">
              <w:rPr>
                <w:rFonts w:ascii="Calibri" w:hAnsi="Calibri"/>
                <w:b/>
                <w:noProof/>
                <w:lang w:val="de-DE" w:eastAsia="de-DE"/>
              </w:rPr>
              <w:t> </w:t>
            </w:r>
            <w:r w:rsidRPr="00BA5C85">
              <w:rPr>
                <w:rFonts w:ascii="Calibri" w:hAnsi="Calibri"/>
                <w:b/>
                <w:noProof/>
                <w:lang w:val="de-DE" w:eastAsia="de-DE"/>
              </w:rPr>
              <w:t> </w:t>
            </w:r>
            <w:r w:rsidRPr="00BA5C85">
              <w:rPr>
                <w:rFonts w:ascii="Calibri" w:hAnsi="Calibri"/>
                <w:b/>
                <w:noProof/>
                <w:lang w:val="de-DE" w:eastAsia="de-DE"/>
              </w:rPr>
              <w:t> </w:t>
            </w:r>
            <w:r w:rsidRPr="00BA5C85">
              <w:rPr>
                <w:rFonts w:ascii="Calibri" w:hAnsi="Calibri"/>
                <w:b/>
                <w:noProof/>
                <w:lang w:val="de-DE" w:eastAsia="de-DE"/>
              </w:rPr>
              <w:t> </w:t>
            </w:r>
            <w:r w:rsidRPr="00BA5C85">
              <w:rPr>
                <w:rFonts w:ascii="Calibri" w:hAnsi="Calibri"/>
                <w:b/>
                <w:lang w:val="de-DE" w:eastAsia="de-DE"/>
              </w:rPr>
              <w:fldChar w:fldCharType="end"/>
            </w:r>
          </w:p>
        </w:tc>
      </w:tr>
      <w:tr w:rsidR="00BA6B83" w:rsidRPr="00BA5C85" w14:paraId="2812EBF4" w14:textId="77777777" w:rsidTr="003245F0">
        <w:trPr>
          <w:cantSplit/>
        </w:trPr>
        <w:tc>
          <w:tcPr>
            <w:tcW w:w="2122" w:type="dxa"/>
            <w:vMerge w:val="restart"/>
          </w:tcPr>
          <w:p w14:paraId="50812C19" w14:textId="77777777" w:rsidR="00BA6B83" w:rsidRPr="00BA5C85" w:rsidRDefault="00BA6B83" w:rsidP="003245F0">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BA5C85">
              <w:rPr>
                <w:rFonts w:ascii="Calibri" w:hAnsi="Calibri" w:cs="Arial"/>
                <w:lang w:val="de-DE" w:eastAsia="de-DE"/>
              </w:rPr>
              <w:t>Aktenzeichen:</w:t>
            </w:r>
          </w:p>
        </w:tc>
        <w:tc>
          <w:tcPr>
            <w:tcW w:w="1701" w:type="dxa"/>
            <w:tcBorders>
              <w:right w:val="nil"/>
            </w:tcBorders>
            <w:shd w:val="clear" w:color="auto" w:fill="FFF2CC" w:themeFill="accent4" w:themeFillTint="33"/>
            <w:vAlign w:val="center"/>
          </w:tcPr>
          <w:p w14:paraId="0685A39C" w14:textId="0314A996" w:rsidR="00BA6B83" w:rsidRPr="00BA5C85" w:rsidRDefault="00BA6B83" w:rsidP="00A05E39">
            <w:pPr>
              <w:pStyle w:val="FVVNR"/>
              <w:spacing w:before="0" w:after="0"/>
              <w:rPr>
                <w:sz w:val="20"/>
              </w:rPr>
            </w:pPr>
            <w:r w:rsidRPr="00BA5C85">
              <w:rPr>
                <w:sz w:val="20"/>
              </w:rPr>
              <w:fldChar w:fldCharType="begin">
                <w:ffData>
                  <w:name w:val="Verfahrensnummer"/>
                  <w:enabled/>
                  <w:calcOnExit/>
                  <w:textInput/>
                </w:ffData>
              </w:fldChar>
            </w:r>
            <w:r w:rsidRPr="00BA5C85">
              <w:rPr>
                <w:sz w:val="20"/>
              </w:rPr>
              <w:instrText xml:space="preserve"> FORMTEXT </w:instrText>
            </w:r>
            <w:r w:rsidRPr="00BA5C85">
              <w:rPr>
                <w:sz w:val="20"/>
              </w:rPr>
            </w:r>
            <w:r w:rsidRPr="00BA5C85">
              <w:rPr>
                <w:sz w:val="20"/>
              </w:rPr>
              <w:fldChar w:fldCharType="separate"/>
            </w:r>
            <w:r w:rsidR="00650B37">
              <w:rPr>
                <w:noProof/>
                <w:sz w:val="20"/>
              </w:rPr>
              <w:t> </w:t>
            </w:r>
            <w:r w:rsidR="00650B37">
              <w:rPr>
                <w:noProof/>
                <w:sz w:val="20"/>
              </w:rPr>
              <w:t> </w:t>
            </w:r>
            <w:r w:rsidR="00650B37">
              <w:rPr>
                <w:noProof/>
                <w:sz w:val="20"/>
              </w:rPr>
              <w:t> </w:t>
            </w:r>
            <w:r w:rsidR="00650B37">
              <w:rPr>
                <w:noProof/>
                <w:sz w:val="20"/>
              </w:rPr>
              <w:t> </w:t>
            </w:r>
            <w:r w:rsidR="00650B37">
              <w:rPr>
                <w:noProof/>
                <w:sz w:val="20"/>
              </w:rPr>
              <w:t> </w:t>
            </w:r>
            <w:r w:rsidRPr="00BA5C85">
              <w:rPr>
                <w:sz w:val="20"/>
              </w:rPr>
              <w:fldChar w:fldCharType="end"/>
            </w:r>
          </w:p>
        </w:tc>
        <w:tc>
          <w:tcPr>
            <w:tcW w:w="992" w:type="dxa"/>
            <w:tcBorders>
              <w:left w:val="nil"/>
              <w:right w:val="nil"/>
            </w:tcBorders>
            <w:shd w:val="clear" w:color="auto" w:fill="FFF2CC" w:themeFill="accent4" w:themeFillTint="33"/>
            <w:vAlign w:val="center"/>
          </w:tcPr>
          <w:p w14:paraId="4FE25A0F" w14:textId="77777777" w:rsidR="00BA6B83" w:rsidRPr="00BA5C85" w:rsidRDefault="00BA6B83" w:rsidP="00A05E39">
            <w:pPr>
              <w:pStyle w:val="FVPhase-2"/>
              <w:spacing w:before="0" w:after="0"/>
            </w:pPr>
            <w:r w:rsidRPr="00BA5C85">
              <w:fldChar w:fldCharType="begin">
                <w:ffData>
                  <w:name w:val="Verfahrensnummer"/>
                  <w:enabled/>
                  <w:calcOnExit/>
                  <w:textInput/>
                </w:ffData>
              </w:fldChar>
            </w:r>
            <w:r w:rsidRPr="00BA5C85">
              <w:instrText xml:space="preserve"> FORMTEXT </w:instrText>
            </w:r>
            <w:r w:rsidRPr="00BA5C85">
              <w:fldChar w:fldCharType="separate"/>
            </w:r>
            <w:r w:rsidR="00A05E39" w:rsidRPr="00BA5C85">
              <w:rPr>
                <w:noProof/>
              </w:rPr>
              <w:t> </w:t>
            </w:r>
            <w:r w:rsidR="00A05E39" w:rsidRPr="00BA5C85">
              <w:rPr>
                <w:noProof/>
              </w:rPr>
              <w:t> </w:t>
            </w:r>
            <w:r w:rsidR="00A05E39" w:rsidRPr="00BA5C85">
              <w:rPr>
                <w:noProof/>
              </w:rPr>
              <w:t> </w:t>
            </w:r>
            <w:r w:rsidR="00A05E39" w:rsidRPr="00BA5C85">
              <w:rPr>
                <w:noProof/>
              </w:rPr>
              <w:t> </w:t>
            </w:r>
            <w:r w:rsidR="00A05E39" w:rsidRPr="00BA5C85">
              <w:rPr>
                <w:noProof/>
              </w:rPr>
              <w:t> </w:t>
            </w:r>
            <w:r w:rsidRPr="00BA5C85">
              <w:fldChar w:fldCharType="end"/>
            </w:r>
          </w:p>
        </w:tc>
        <w:tc>
          <w:tcPr>
            <w:tcW w:w="4813" w:type="dxa"/>
            <w:gridSpan w:val="3"/>
            <w:tcBorders>
              <w:left w:val="nil"/>
            </w:tcBorders>
            <w:vAlign w:val="center"/>
          </w:tcPr>
          <w:p w14:paraId="39A5C8BE" w14:textId="77777777" w:rsidR="00BA6B83" w:rsidRPr="00BA5C85" w:rsidRDefault="00BA6B83" w:rsidP="007B39BB">
            <w:pPr>
              <w:spacing w:before="0" w:after="0"/>
            </w:pPr>
          </w:p>
        </w:tc>
      </w:tr>
      <w:tr w:rsidR="00BA6B83" w:rsidRPr="00BA5C85" w14:paraId="1B6D5102" w14:textId="77777777" w:rsidTr="003245F0">
        <w:trPr>
          <w:cantSplit/>
          <w:trHeight w:val="20"/>
        </w:trPr>
        <w:tc>
          <w:tcPr>
            <w:tcW w:w="2122" w:type="dxa"/>
            <w:vMerge/>
            <w:vAlign w:val="center"/>
          </w:tcPr>
          <w:p w14:paraId="78F2BBB1" w14:textId="77777777" w:rsidR="00BA6B83" w:rsidRPr="00BA5C85" w:rsidRDefault="00BA6B83" w:rsidP="007B39B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701" w:type="dxa"/>
            <w:tcBorders>
              <w:right w:val="nil"/>
            </w:tcBorders>
            <w:tcMar>
              <w:top w:w="0" w:type="dxa"/>
              <w:bottom w:w="0" w:type="dxa"/>
            </w:tcMar>
            <w:vAlign w:val="center"/>
          </w:tcPr>
          <w:p w14:paraId="13175D28" w14:textId="77777777" w:rsidR="00BA6B83" w:rsidRPr="00BA5C85" w:rsidRDefault="00BA6B83" w:rsidP="007B39BB">
            <w:pPr>
              <w:spacing w:before="0" w:after="0"/>
              <w:rPr>
                <w:sz w:val="14"/>
                <w:szCs w:val="14"/>
              </w:rPr>
            </w:pPr>
            <w:r w:rsidRPr="00BA5C85">
              <w:rPr>
                <w:sz w:val="14"/>
                <w:szCs w:val="14"/>
              </w:rPr>
              <w:t>Verfahrensnummer</w:t>
            </w:r>
          </w:p>
        </w:tc>
        <w:tc>
          <w:tcPr>
            <w:tcW w:w="992" w:type="dxa"/>
            <w:tcBorders>
              <w:left w:val="nil"/>
              <w:right w:val="nil"/>
            </w:tcBorders>
            <w:tcMar>
              <w:top w:w="0" w:type="dxa"/>
              <w:bottom w:w="0" w:type="dxa"/>
            </w:tcMar>
            <w:vAlign w:val="center"/>
          </w:tcPr>
          <w:p w14:paraId="025D71B8" w14:textId="77777777" w:rsidR="00BA6B83" w:rsidRPr="00BA5C85" w:rsidRDefault="00BA6B83" w:rsidP="007B39BB">
            <w:pPr>
              <w:spacing w:before="0" w:after="0"/>
              <w:rPr>
                <w:sz w:val="14"/>
                <w:szCs w:val="14"/>
              </w:rPr>
            </w:pPr>
            <w:r w:rsidRPr="00BA5C85">
              <w:rPr>
                <w:sz w:val="14"/>
                <w:szCs w:val="14"/>
              </w:rPr>
              <w:t>Phase</w:t>
            </w:r>
          </w:p>
        </w:tc>
        <w:tc>
          <w:tcPr>
            <w:tcW w:w="4813" w:type="dxa"/>
            <w:gridSpan w:val="3"/>
            <w:tcBorders>
              <w:left w:val="nil"/>
            </w:tcBorders>
            <w:tcMar>
              <w:top w:w="0" w:type="dxa"/>
              <w:bottom w:w="0" w:type="dxa"/>
            </w:tcMar>
            <w:vAlign w:val="center"/>
          </w:tcPr>
          <w:p w14:paraId="55E05D6F" w14:textId="77777777" w:rsidR="00BA6B83" w:rsidRPr="00BA5C85" w:rsidRDefault="00BA6B83" w:rsidP="007B39BB">
            <w:pPr>
              <w:pStyle w:val="FVPhase"/>
              <w:spacing w:before="0" w:after="0"/>
              <w:rPr>
                <w:b w:val="0"/>
                <w:sz w:val="14"/>
                <w:szCs w:val="14"/>
              </w:rPr>
            </w:pPr>
          </w:p>
        </w:tc>
      </w:tr>
      <w:tr w:rsidR="00F85797" w:rsidRPr="00BA5C85" w14:paraId="7E80E1E3" w14:textId="77777777" w:rsidTr="00FD61C8">
        <w:trPr>
          <w:cantSplit/>
        </w:trPr>
        <w:tc>
          <w:tcPr>
            <w:tcW w:w="2122" w:type="dxa"/>
            <w:vAlign w:val="center"/>
          </w:tcPr>
          <w:p w14:paraId="4BC97080" w14:textId="77777777" w:rsidR="00F85797" w:rsidRPr="00BA5C85" w:rsidRDefault="00F85797" w:rsidP="007B39B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BA5C85">
              <w:rPr>
                <w:rFonts w:ascii="Calibri" w:hAnsi="Calibri" w:cs="Arial"/>
                <w:lang w:val="de-DE" w:eastAsia="de-DE"/>
              </w:rPr>
              <w:t>Datum Begutachtung:</w:t>
            </w:r>
          </w:p>
        </w:tc>
        <w:tc>
          <w:tcPr>
            <w:tcW w:w="7506" w:type="dxa"/>
            <w:gridSpan w:val="5"/>
            <w:shd w:val="clear" w:color="auto" w:fill="FFF2CC" w:themeFill="accent4" w:themeFillTint="33"/>
            <w:vAlign w:val="center"/>
          </w:tcPr>
          <w:p w14:paraId="09EDAFE0" w14:textId="77777777" w:rsidR="00F85797" w:rsidRPr="00BA5C85" w:rsidRDefault="00F85797" w:rsidP="007B39BB">
            <w:pPr>
              <w:overflowPunct w:val="0"/>
              <w:autoSpaceDE w:val="0"/>
              <w:autoSpaceDN w:val="0"/>
              <w:adjustRightInd w:val="0"/>
              <w:spacing w:before="0" w:after="0"/>
              <w:textAlignment w:val="baseline"/>
              <w:rPr>
                <w:rFonts w:cs="Arial"/>
                <w:bCs/>
              </w:rPr>
            </w:pPr>
            <w:r w:rsidRPr="00BA5C85">
              <w:fldChar w:fldCharType="begin">
                <w:ffData>
                  <w:name w:val=""/>
                  <w:enabled/>
                  <w:calcOnExit w:val="0"/>
                  <w:textInput/>
                </w:ffData>
              </w:fldChar>
            </w:r>
            <w:r w:rsidRPr="00BA5C85">
              <w:instrText xml:space="preserve"> FORMTEXT </w:instrText>
            </w:r>
            <w:r w:rsidRPr="00BA5C85">
              <w:fldChar w:fldCharType="separate"/>
            </w:r>
            <w:r w:rsidRPr="00BA5C85">
              <w:rPr>
                <w:noProof/>
              </w:rPr>
              <w:t> </w:t>
            </w:r>
            <w:r w:rsidRPr="00BA5C85">
              <w:rPr>
                <w:noProof/>
              </w:rPr>
              <w:t> </w:t>
            </w:r>
            <w:r w:rsidRPr="00BA5C85">
              <w:rPr>
                <w:noProof/>
              </w:rPr>
              <w:t> </w:t>
            </w:r>
            <w:r w:rsidRPr="00BA5C85">
              <w:rPr>
                <w:noProof/>
              </w:rPr>
              <w:t> </w:t>
            </w:r>
            <w:r w:rsidRPr="00BA5C85">
              <w:rPr>
                <w:noProof/>
              </w:rPr>
              <w:t> </w:t>
            </w:r>
            <w:r w:rsidRPr="00BA5C85">
              <w:fldChar w:fldCharType="end"/>
            </w:r>
          </w:p>
        </w:tc>
      </w:tr>
      <w:tr w:rsidR="00FD61C8" w:rsidRPr="00BA5C85" w14:paraId="51F3BE07" w14:textId="77777777" w:rsidTr="00FD61C8">
        <w:trPr>
          <w:cantSplit/>
        </w:trPr>
        <w:tc>
          <w:tcPr>
            <w:tcW w:w="2122" w:type="dxa"/>
            <w:tcBorders>
              <w:top w:val="single" w:sz="4" w:space="0" w:color="auto"/>
              <w:left w:val="single" w:sz="4" w:space="0" w:color="auto"/>
              <w:bottom w:val="single" w:sz="4" w:space="0" w:color="auto"/>
              <w:right w:val="single" w:sz="4" w:space="0" w:color="auto"/>
            </w:tcBorders>
            <w:vAlign w:val="center"/>
          </w:tcPr>
          <w:p w14:paraId="3166C68A" w14:textId="77777777" w:rsidR="00FD61C8" w:rsidRPr="00BA5C85" w:rsidRDefault="00FD61C8" w:rsidP="00FD61C8">
            <w:pPr>
              <w:pStyle w:val="Kopfzeile"/>
              <w:tabs>
                <w:tab w:val="left" w:pos="708"/>
              </w:tabs>
              <w:overflowPunct w:val="0"/>
              <w:autoSpaceDE w:val="0"/>
              <w:autoSpaceDN w:val="0"/>
              <w:adjustRightInd w:val="0"/>
              <w:textAlignment w:val="baseline"/>
              <w:rPr>
                <w:rFonts w:ascii="Calibri" w:hAnsi="Calibri" w:cs="Arial"/>
                <w:lang w:val="de-DE" w:eastAsia="de-DE"/>
              </w:rPr>
            </w:pPr>
            <w:r w:rsidRPr="00BA5C85">
              <w:rPr>
                <w:rFonts w:ascii="Calibri" w:hAnsi="Calibri" w:cs="Arial"/>
                <w:lang w:val="de-DE" w:eastAsia="de-DE"/>
              </w:rPr>
              <w:t>Begutachtungsvorgang:</w:t>
            </w:r>
          </w:p>
        </w:tc>
        <w:tc>
          <w:tcPr>
            <w:tcW w:w="750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DB6663" w14:textId="77777777" w:rsidR="00FD61C8" w:rsidRPr="00BA5C85" w:rsidRDefault="00FD61C8" w:rsidP="00FD61C8">
            <w:pPr>
              <w:pStyle w:val="Kopfzeile"/>
              <w:tabs>
                <w:tab w:val="left" w:pos="708"/>
              </w:tabs>
              <w:overflowPunct w:val="0"/>
              <w:autoSpaceDE w:val="0"/>
              <w:autoSpaceDN w:val="0"/>
              <w:adjustRightInd w:val="0"/>
              <w:textAlignment w:val="baseline"/>
              <w:rPr>
                <w:rFonts w:ascii="Calibri" w:hAnsi="Calibri" w:cs="Arial"/>
                <w:lang w:val="de-DE" w:eastAsia="de-DE"/>
              </w:rPr>
            </w:pPr>
            <w:r w:rsidRPr="00BA5C85">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sidRPr="00BA5C85">
              <w:rPr>
                <w:rFonts w:ascii="Calibri" w:hAnsi="Calibri" w:cs="Arial"/>
                <w:lang w:val="de-DE" w:eastAsia="de-DE"/>
              </w:rPr>
              <w:instrText xml:space="preserve"> FORMDROPDOWN </w:instrText>
            </w:r>
            <w:r w:rsidR="00650B37">
              <w:rPr>
                <w:rFonts w:ascii="Calibri" w:hAnsi="Calibri" w:cs="Arial"/>
                <w:lang w:val="de-DE" w:eastAsia="de-DE"/>
              </w:rPr>
            </w:r>
            <w:r w:rsidR="00650B37">
              <w:rPr>
                <w:rFonts w:ascii="Calibri" w:hAnsi="Calibri" w:cs="Arial"/>
                <w:lang w:val="de-DE" w:eastAsia="de-DE"/>
              </w:rPr>
              <w:fldChar w:fldCharType="separate"/>
            </w:r>
            <w:r w:rsidRPr="00BA5C85">
              <w:rPr>
                <w:rFonts w:ascii="Calibri" w:hAnsi="Calibri" w:cs="Arial"/>
                <w:lang w:val="de-DE" w:eastAsia="de-DE"/>
              </w:rPr>
              <w:fldChar w:fldCharType="end"/>
            </w:r>
          </w:p>
        </w:tc>
      </w:tr>
      <w:tr w:rsidR="00FD61C8" w:rsidRPr="00BA5C85" w14:paraId="7EE7D13A" w14:textId="77777777" w:rsidTr="00FD61C8">
        <w:trPr>
          <w:cantSplit/>
        </w:trPr>
        <w:tc>
          <w:tcPr>
            <w:tcW w:w="2122" w:type="dxa"/>
            <w:tcBorders>
              <w:top w:val="single" w:sz="4" w:space="0" w:color="auto"/>
              <w:left w:val="single" w:sz="4" w:space="0" w:color="auto"/>
              <w:bottom w:val="single" w:sz="12" w:space="0" w:color="auto"/>
              <w:right w:val="single" w:sz="4" w:space="0" w:color="auto"/>
            </w:tcBorders>
            <w:vAlign w:val="center"/>
          </w:tcPr>
          <w:p w14:paraId="0ECDF920" w14:textId="77777777" w:rsidR="00FD61C8" w:rsidRPr="00BA5C85" w:rsidRDefault="00FD61C8" w:rsidP="00FD61C8">
            <w:pPr>
              <w:pStyle w:val="Kopfzeile"/>
              <w:tabs>
                <w:tab w:val="left" w:pos="708"/>
              </w:tabs>
              <w:overflowPunct w:val="0"/>
              <w:autoSpaceDE w:val="0"/>
              <w:autoSpaceDN w:val="0"/>
              <w:adjustRightInd w:val="0"/>
              <w:textAlignment w:val="baseline"/>
              <w:rPr>
                <w:rFonts w:ascii="Calibri" w:hAnsi="Calibri" w:cs="Arial"/>
                <w:lang w:val="de-DE" w:eastAsia="de-DE"/>
              </w:rPr>
            </w:pPr>
            <w:r w:rsidRPr="00BA5C85">
              <w:rPr>
                <w:rFonts w:ascii="Calibri" w:hAnsi="Calibri" w:cs="Arial"/>
                <w:lang w:val="de-DE" w:eastAsia="de-DE"/>
              </w:rPr>
              <w:t>Begutachtungstyp</w:t>
            </w:r>
            <w:r w:rsidRPr="00BA5C85">
              <w:rPr>
                <w:rStyle w:val="Endnotenzeichen"/>
                <w:rFonts w:cs="Arial"/>
                <w:iCs/>
                <w:sz w:val="18"/>
                <w:szCs w:val="18"/>
                <w:lang w:val="de-DE"/>
              </w:rPr>
              <w:endnoteReference w:id="1"/>
            </w:r>
            <w:r w:rsidRPr="00BA5C85">
              <w:rPr>
                <w:rFonts w:ascii="Calibri" w:hAnsi="Calibri" w:cs="Arial"/>
                <w:lang w:val="de-DE" w:eastAsia="de-DE"/>
              </w:rPr>
              <w:t>:</w:t>
            </w:r>
          </w:p>
        </w:tc>
        <w:tc>
          <w:tcPr>
            <w:tcW w:w="7506" w:type="dxa"/>
            <w:gridSpan w:val="5"/>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0EDAE74B" w14:textId="77777777" w:rsidR="00FD61C8" w:rsidRPr="00BA5C85" w:rsidRDefault="00FD61C8" w:rsidP="00FD61C8">
            <w:pPr>
              <w:pStyle w:val="Kopfzeile"/>
              <w:tabs>
                <w:tab w:val="left" w:pos="708"/>
              </w:tabs>
              <w:overflowPunct w:val="0"/>
              <w:autoSpaceDE w:val="0"/>
              <w:autoSpaceDN w:val="0"/>
              <w:adjustRightInd w:val="0"/>
              <w:textAlignment w:val="baseline"/>
              <w:rPr>
                <w:rFonts w:ascii="Calibri" w:hAnsi="Calibri" w:cs="Arial"/>
                <w:lang w:val="de-DE" w:eastAsia="de-DE"/>
              </w:rPr>
            </w:pPr>
            <w:r w:rsidRPr="00BA5C85">
              <w:rPr>
                <w:rFonts w:asciiTheme="minorHAnsi" w:hAnsiTheme="minorHAnsi"/>
              </w:rPr>
              <w:fldChar w:fldCharType="begin">
                <w:ffData>
                  <w:name w:val=""/>
                  <w:enabled/>
                  <w:calcOnExit w:val="0"/>
                  <w:textInput/>
                </w:ffData>
              </w:fldChar>
            </w:r>
            <w:r w:rsidRPr="00BA5C85">
              <w:rPr>
                <w:rFonts w:asciiTheme="minorHAnsi" w:hAnsiTheme="minorHAnsi"/>
              </w:rPr>
              <w:instrText xml:space="preserve"> FORMTEXT </w:instrText>
            </w:r>
            <w:r w:rsidRPr="00BA5C85">
              <w:rPr>
                <w:rFonts w:asciiTheme="minorHAnsi" w:hAnsiTheme="minorHAnsi"/>
              </w:rPr>
            </w:r>
            <w:r w:rsidRPr="00BA5C85">
              <w:rPr>
                <w:rFonts w:asciiTheme="minorHAnsi" w:hAnsiTheme="minorHAnsi"/>
              </w:rPr>
              <w:fldChar w:fldCharType="separate"/>
            </w:r>
            <w:r w:rsidRPr="00BA5C85">
              <w:rPr>
                <w:rFonts w:asciiTheme="minorHAnsi" w:hAnsiTheme="minorHAnsi"/>
                <w:noProof/>
              </w:rPr>
              <w:t> </w:t>
            </w:r>
            <w:r w:rsidRPr="00BA5C85">
              <w:rPr>
                <w:rFonts w:asciiTheme="minorHAnsi" w:hAnsiTheme="minorHAnsi"/>
                <w:noProof/>
              </w:rPr>
              <w:t> </w:t>
            </w:r>
            <w:r w:rsidRPr="00BA5C85">
              <w:rPr>
                <w:rFonts w:asciiTheme="minorHAnsi" w:hAnsiTheme="minorHAnsi"/>
                <w:noProof/>
              </w:rPr>
              <w:t> </w:t>
            </w:r>
            <w:r w:rsidRPr="00BA5C85">
              <w:rPr>
                <w:rFonts w:asciiTheme="minorHAnsi" w:hAnsiTheme="minorHAnsi"/>
                <w:noProof/>
              </w:rPr>
              <w:t> </w:t>
            </w:r>
            <w:r w:rsidRPr="00BA5C85">
              <w:rPr>
                <w:rFonts w:asciiTheme="minorHAnsi" w:hAnsiTheme="minorHAnsi"/>
                <w:noProof/>
              </w:rPr>
              <w:t> </w:t>
            </w:r>
            <w:r w:rsidRPr="00BA5C85">
              <w:rPr>
                <w:rFonts w:asciiTheme="minorHAnsi" w:hAnsiTheme="minorHAnsi"/>
              </w:rPr>
              <w:fldChar w:fldCharType="end"/>
            </w:r>
          </w:p>
        </w:tc>
      </w:tr>
      <w:tr w:rsidR="00F85797" w:rsidRPr="00BA5C85" w14:paraId="6D3D2BDA" w14:textId="77777777" w:rsidTr="00FD6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994" w:type="dxa"/>
            <w:gridSpan w:val="4"/>
            <w:tcBorders>
              <w:top w:val="single" w:sz="12" w:space="0" w:color="auto"/>
              <w:left w:val="single" w:sz="4" w:space="0" w:color="auto"/>
              <w:bottom w:val="single" w:sz="4" w:space="0" w:color="auto"/>
            </w:tcBorders>
            <w:vAlign w:val="center"/>
          </w:tcPr>
          <w:p w14:paraId="1E52ABFD" w14:textId="77777777" w:rsidR="00F85797" w:rsidRPr="00BA5C85" w:rsidRDefault="000B1D9D" w:rsidP="007B39BB">
            <w:pPr>
              <w:pStyle w:val="Kopfzeile"/>
              <w:tabs>
                <w:tab w:val="clear" w:pos="4536"/>
                <w:tab w:val="clear" w:pos="9072"/>
              </w:tabs>
              <w:spacing w:before="0" w:after="0"/>
              <w:rPr>
                <w:rFonts w:ascii="Calibri" w:hAnsi="Calibri" w:cs="Arial"/>
                <w:lang w:val="de-DE" w:eastAsia="de-DE"/>
              </w:rPr>
            </w:pPr>
            <w:r w:rsidRPr="00BA5C85">
              <w:rPr>
                <w:rFonts w:ascii="Calibri" w:hAnsi="Calibri" w:cs="Arial"/>
                <w:lang w:val="de-DE" w:eastAsia="de-DE"/>
              </w:rPr>
              <w:t>KBS</w:t>
            </w:r>
            <w:r w:rsidR="00F85797" w:rsidRPr="00BA5C85">
              <w:rPr>
                <w:rFonts w:ascii="Calibri" w:hAnsi="Calibri" w:cs="Arial"/>
                <w:lang w:val="de-DE" w:eastAsia="de-DE"/>
              </w:rPr>
              <w:t xml:space="preserve"> mit mehreren Standorten:</w:t>
            </w:r>
          </w:p>
        </w:tc>
        <w:tc>
          <w:tcPr>
            <w:tcW w:w="1518" w:type="dxa"/>
            <w:tcBorders>
              <w:top w:val="single" w:sz="12" w:space="0" w:color="auto"/>
              <w:bottom w:val="single" w:sz="4" w:space="0" w:color="auto"/>
            </w:tcBorders>
            <w:shd w:val="clear" w:color="auto" w:fill="FFF2CC" w:themeFill="accent4" w:themeFillTint="33"/>
            <w:vAlign w:val="center"/>
          </w:tcPr>
          <w:p w14:paraId="649CBD95" w14:textId="77777777" w:rsidR="00F85797" w:rsidRPr="00BA5C85" w:rsidRDefault="00F85797" w:rsidP="007B39BB">
            <w:pPr>
              <w:spacing w:before="0" w:after="0"/>
              <w:rPr>
                <w:rFonts w:cs="Arial"/>
              </w:rPr>
            </w:pPr>
            <w:r w:rsidRPr="00BA5C85">
              <w:rPr>
                <w:rFonts w:cs="Arial"/>
              </w:rPr>
              <w:fldChar w:fldCharType="begin">
                <w:ffData>
                  <w:name w:val="Kontrollkästchen1"/>
                  <w:enabled/>
                  <w:calcOnExit w:val="0"/>
                  <w:checkBox>
                    <w:sizeAuto/>
                    <w:default w:val="0"/>
                    <w:checked w:val="0"/>
                  </w:checkBox>
                </w:ffData>
              </w:fldChar>
            </w:r>
            <w:r w:rsidRPr="00BA5C85">
              <w:rPr>
                <w:rFonts w:cs="Arial"/>
              </w:rPr>
              <w:instrText xml:space="preserve"> FORMCHECKBOX </w:instrText>
            </w:r>
            <w:r w:rsidR="00650B37">
              <w:rPr>
                <w:rFonts w:cs="Arial"/>
              </w:rPr>
            </w:r>
            <w:r w:rsidR="00650B37">
              <w:rPr>
                <w:rFonts w:cs="Arial"/>
              </w:rPr>
              <w:fldChar w:fldCharType="separate"/>
            </w:r>
            <w:r w:rsidRPr="00BA5C85">
              <w:rPr>
                <w:rFonts w:cs="Arial"/>
              </w:rPr>
              <w:fldChar w:fldCharType="end"/>
            </w:r>
            <w:r w:rsidRPr="00BA5C85">
              <w:rPr>
                <w:rFonts w:cs="Arial"/>
              </w:rPr>
              <w:t xml:space="preserve"> </w:t>
            </w:r>
            <w:r w:rsidRPr="00BA5C85">
              <w:rPr>
                <w:rFonts w:cs="Arial"/>
                <w:bCs/>
              </w:rPr>
              <w:t>Ja</w:t>
            </w:r>
          </w:p>
        </w:tc>
        <w:tc>
          <w:tcPr>
            <w:tcW w:w="3116" w:type="dxa"/>
            <w:tcBorders>
              <w:top w:val="single" w:sz="12" w:space="0" w:color="auto"/>
              <w:bottom w:val="single" w:sz="4" w:space="0" w:color="auto"/>
              <w:right w:val="single" w:sz="4" w:space="0" w:color="auto"/>
            </w:tcBorders>
            <w:shd w:val="clear" w:color="auto" w:fill="FFF2CC" w:themeFill="accent4" w:themeFillTint="33"/>
            <w:vAlign w:val="center"/>
          </w:tcPr>
          <w:p w14:paraId="6C21F191" w14:textId="77777777" w:rsidR="00F85797" w:rsidRPr="00BA5C85" w:rsidRDefault="00F85797" w:rsidP="007B39BB">
            <w:pPr>
              <w:spacing w:before="0" w:after="0"/>
              <w:rPr>
                <w:rFonts w:cs="Arial"/>
              </w:rPr>
            </w:pPr>
            <w:r w:rsidRPr="00BA5C85">
              <w:rPr>
                <w:rFonts w:cs="Arial"/>
              </w:rPr>
              <w:fldChar w:fldCharType="begin">
                <w:ffData>
                  <w:name w:val="Kontrollkästchen1"/>
                  <w:enabled/>
                  <w:calcOnExit w:val="0"/>
                  <w:checkBox>
                    <w:sizeAuto/>
                    <w:default w:val="0"/>
                  </w:checkBox>
                </w:ffData>
              </w:fldChar>
            </w:r>
            <w:r w:rsidRPr="00BA5C85">
              <w:rPr>
                <w:rFonts w:cs="Arial"/>
              </w:rPr>
              <w:instrText xml:space="preserve"> FORMCHECKBOX </w:instrText>
            </w:r>
            <w:r w:rsidR="00650B37">
              <w:rPr>
                <w:rFonts w:cs="Arial"/>
              </w:rPr>
            </w:r>
            <w:r w:rsidR="00650B37">
              <w:rPr>
                <w:rFonts w:cs="Arial"/>
              </w:rPr>
              <w:fldChar w:fldCharType="separate"/>
            </w:r>
            <w:r w:rsidRPr="00BA5C85">
              <w:rPr>
                <w:rFonts w:cs="Arial"/>
              </w:rPr>
              <w:fldChar w:fldCharType="end"/>
            </w:r>
            <w:r w:rsidRPr="00BA5C85">
              <w:rPr>
                <w:rFonts w:cs="Arial"/>
              </w:rPr>
              <w:t xml:space="preserve"> </w:t>
            </w:r>
            <w:r w:rsidRPr="00BA5C85">
              <w:rPr>
                <w:rFonts w:cs="Arial"/>
                <w:bCs/>
              </w:rPr>
              <w:t>Nein</w:t>
            </w:r>
          </w:p>
        </w:tc>
      </w:tr>
      <w:tr w:rsidR="00F85797" w:rsidRPr="00BA5C85" w14:paraId="4406465F" w14:textId="77777777" w:rsidTr="00FD61C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Pr>
        <w:tc>
          <w:tcPr>
            <w:tcW w:w="9628" w:type="dxa"/>
            <w:gridSpan w:val="6"/>
            <w:tcBorders>
              <w:top w:val="single" w:sz="4" w:space="0" w:color="auto"/>
              <w:left w:val="single" w:sz="2" w:space="0" w:color="auto"/>
              <w:bottom w:val="single" w:sz="2" w:space="0" w:color="auto"/>
              <w:right w:val="single" w:sz="4" w:space="0" w:color="auto"/>
            </w:tcBorders>
            <w:vAlign w:val="center"/>
          </w:tcPr>
          <w:p w14:paraId="5EC844DA" w14:textId="77777777" w:rsidR="00F85797" w:rsidRPr="00BA5C85" w:rsidRDefault="00F85797" w:rsidP="007B39BB">
            <w:pPr>
              <w:pStyle w:val="Kopfzeile"/>
              <w:tabs>
                <w:tab w:val="clear" w:pos="4536"/>
                <w:tab w:val="clear" w:pos="9072"/>
              </w:tabs>
              <w:spacing w:before="0" w:after="0"/>
              <w:rPr>
                <w:rFonts w:ascii="Calibri" w:hAnsi="Calibri" w:cs="Arial"/>
                <w:lang w:val="de-DE" w:eastAsia="de-DE"/>
              </w:rPr>
            </w:pPr>
            <w:r w:rsidRPr="00BA5C85">
              <w:rPr>
                <w:rFonts w:ascii="Calibri" w:hAnsi="Calibri" w:cs="Arial"/>
                <w:lang w:val="de-DE" w:eastAsia="de-DE"/>
              </w:rPr>
              <w:t>Name / Anschrift begutachteter Standorte:</w:t>
            </w:r>
          </w:p>
        </w:tc>
      </w:tr>
    </w:tbl>
    <w:p w14:paraId="3FC688EC" w14:textId="77777777" w:rsidR="009456E9" w:rsidRPr="00BA5C85" w:rsidRDefault="009456E9" w:rsidP="00E24600">
      <w:pPr>
        <w:spacing w:before="0" w:after="0"/>
        <w:rPr>
          <w:rFonts w:cs="Arial"/>
          <w:bCs/>
          <w:sz w:val="2"/>
          <w:szCs w:val="2"/>
        </w:rPr>
        <w:sectPr w:rsidR="009456E9" w:rsidRPr="00BA5C85" w:rsidSect="008C67EB">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9456E9" w:rsidRPr="00BA5C85" w14:paraId="405624DE" w14:textId="77777777" w:rsidTr="00E24600">
        <w:trPr>
          <w:trHeight w:val="113"/>
        </w:trPr>
        <w:tc>
          <w:tcPr>
            <w:tcW w:w="9923" w:type="dxa"/>
            <w:tcBorders>
              <w:top w:val="single" w:sz="4" w:space="0" w:color="auto"/>
              <w:bottom w:val="single" w:sz="4" w:space="0" w:color="auto"/>
            </w:tcBorders>
            <w:shd w:val="clear" w:color="auto" w:fill="FFF2CC"/>
          </w:tcPr>
          <w:p w14:paraId="3E7F9A7B" w14:textId="77777777" w:rsidR="009456E9" w:rsidRPr="00BA5C85" w:rsidRDefault="009456E9" w:rsidP="00F82152">
            <w:pPr>
              <w:spacing w:before="0" w:after="0"/>
            </w:pPr>
          </w:p>
        </w:tc>
      </w:tr>
    </w:tbl>
    <w:p w14:paraId="43D13DBA" w14:textId="77777777" w:rsidR="009456E9" w:rsidRPr="00BA5C85" w:rsidRDefault="009456E9" w:rsidP="00E24600">
      <w:pPr>
        <w:pStyle w:val="Kopfzeile"/>
        <w:tabs>
          <w:tab w:val="clear" w:pos="4536"/>
          <w:tab w:val="clear" w:pos="9072"/>
        </w:tabs>
        <w:spacing w:before="0" w:after="0"/>
        <w:rPr>
          <w:rFonts w:ascii="Calibri" w:hAnsi="Calibri" w:cs="Arial"/>
          <w:sz w:val="2"/>
          <w:szCs w:val="2"/>
          <w:lang w:val="de-DE" w:eastAsia="de-DE"/>
        </w:rPr>
        <w:sectPr w:rsidR="009456E9" w:rsidRPr="00BA5C85" w:rsidSect="008C67EB">
          <w:endnotePr>
            <w:numFmt w:val="decimal"/>
          </w:endnotePr>
          <w:type w:val="continuous"/>
          <w:pgSz w:w="11906" w:h="16838" w:code="9"/>
          <w:pgMar w:top="567" w:right="1134" w:bottom="851" w:left="1134" w:header="720" w:footer="720"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08"/>
        <w:gridCol w:w="2885"/>
        <w:gridCol w:w="4635"/>
      </w:tblGrid>
      <w:tr w:rsidR="00F85797" w:rsidRPr="00BA5C85" w14:paraId="40E0859E" w14:textId="77777777" w:rsidTr="00FD61C8">
        <w:tc>
          <w:tcPr>
            <w:tcW w:w="9628" w:type="dxa"/>
            <w:gridSpan w:val="3"/>
            <w:tcBorders>
              <w:top w:val="single" w:sz="12" w:space="0" w:color="auto"/>
            </w:tcBorders>
            <w:vAlign w:val="center"/>
          </w:tcPr>
          <w:p w14:paraId="4D39E3AF" w14:textId="77777777" w:rsidR="00F85797" w:rsidRPr="00BA5C85" w:rsidRDefault="00F85797" w:rsidP="00F82152">
            <w:pPr>
              <w:spacing w:before="0" w:after="0"/>
              <w:rPr>
                <w:b/>
                <w:sz w:val="22"/>
                <w:szCs w:val="22"/>
              </w:rPr>
            </w:pPr>
            <w:r w:rsidRPr="00BA5C85">
              <w:rPr>
                <w:b/>
                <w:sz w:val="22"/>
                <w:szCs w:val="22"/>
              </w:rPr>
              <w:t>Angaben zum Begutachter</w:t>
            </w:r>
          </w:p>
        </w:tc>
      </w:tr>
      <w:tr w:rsidR="00F85797" w:rsidRPr="00BA5C85" w14:paraId="40FCB2B2" w14:textId="77777777" w:rsidTr="00FD61C8">
        <w:tc>
          <w:tcPr>
            <w:tcW w:w="2108" w:type="dxa"/>
            <w:vAlign w:val="center"/>
          </w:tcPr>
          <w:p w14:paraId="0072DE76" w14:textId="77777777" w:rsidR="00F85797" w:rsidRPr="00BA5C85" w:rsidRDefault="00F85797" w:rsidP="00F82152">
            <w:pPr>
              <w:spacing w:before="0" w:after="0"/>
              <w:rPr>
                <w:rFonts w:cs="Arial"/>
                <w:bCs/>
              </w:rPr>
            </w:pPr>
            <w:r w:rsidRPr="00BA5C85">
              <w:t>Name</w:t>
            </w:r>
            <w:r w:rsidRPr="00BA5C85">
              <w:rPr>
                <w:rFonts w:cs="Arial"/>
                <w:bCs/>
              </w:rPr>
              <w:t>:</w:t>
            </w:r>
          </w:p>
        </w:tc>
        <w:tc>
          <w:tcPr>
            <w:tcW w:w="7520" w:type="dxa"/>
            <w:gridSpan w:val="2"/>
            <w:shd w:val="clear" w:color="auto" w:fill="FFF2CC" w:themeFill="accent4" w:themeFillTint="33"/>
            <w:vAlign w:val="center"/>
          </w:tcPr>
          <w:p w14:paraId="51CD0319" w14:textId="77777777" w:rsidR="00F85797" w:rsidRPr="00BA5C85" w:rsidRDefault="00250989" w:rsidP="00A05E39">
            <w:pPr>
              <w:pStyle w:val="FVBegutachter"/>
              <w:spacing w:before="0" w:after="0"/>
              <w:rPr>
                <w:rFonts w:cs="Arial"/>
              </w:rPr>
            </w:pPr>
            <w:r w:rsidRPr="00BA5C85">
              <w:fldChar w:fldCharType="begin">
                <w:ffData>
                  <w:name w:val="Begutachter"/>
                  <w:enabled/>
                  <w:calcOnExit/>
                  <w:textInput/>
                </w:ffData>
              </w:fldChar>
            </w:r>
            <w:bookmarkStart w:id="0" w:name="Begutachter"/>
            <w:r w:rsidRPr="00BA5C85">
              <w:instrText xml:space="preserve"> FORMTEXT </w:instrText>
            </w:r>
            <w:r w:rsidRPr="00BA5C85">
              <w:fldChar w:fldCharType="separate"/>
            </w:r>
            <w:r w:rsidR="00A05E39" w:rsidRPr="00BA5C85">
              <w:rPr>
                <w:noProof/>
              </w:rPr>
              <w:t> </w:t>
            </w:r>
            <w:r w:rsidR="00A05E39" w:rsidRPr="00BA5C85">
              <w:rPr>
                <w:noProof/>
              </w:rPr>
              <w:t> </w:t>
            </w:r>
            <w:r w:rsidR="00A05E39" w:rsidRPr="00BA5C85">
              <w:rPr>
                <w:noProof/>
              </w:rPr>
              <w:t> </w:t>
            </w:r>
            <w:r w:rsidR="00A05E39" w:rsidRPr="00BA5C85">
              <w:rPr>
                <w:noProof/>
              </w:rPr>
              <w:t> </w:t>
            </w:r>
            <w:r w:rsidR="00A05E39" w:rsidRPr="00BA5C85">
              <w:rPr>
                <w:noProof/>
              </w:rPr>
              <w:t> </w:t>
            </w:r>
            <w:r w:rsidRPr="00BA5C85">
              <w:fldChar w:fldCharType="end"/>
            </w:r>
            <w:bookmarkEnd w:id="0"/>
          </w:p>
        </w:tc>
      </w:tr>
      <w:tr w:rsidR="004A17DC" w:rsidRPr="00BA5C85" w14:paraId="5AC2F20B" w14:textId="77777777" w:rsidTr="004A17DC">
        <w:tc>
          <w:tcPr>
            <w:tcW w:w="2108" w:type="dxa"/>
            <w:tcBorders>
              <w:bottom w:val="single" w:sz="4" w:space="0" w:color="auto"/>
            </w:tcBorders>
            <w:vAlign w:val="center"/>
          </w:tcPr>
          <w:p w14:paraId="39602916" w14:textId="77777777" w:rsidR="004A17DC" w:rsidRPr="00BA5C85" w:rsidRDefault="004A17DC" w:rsidP="00F82152">
            <w:pPr>
              <w:overflowPunct w:val="0"/>
              <w:autoSpaceDE w:val="0"/>
              <w:autoSpaceDN w:val="0"/>
              <w:adjustRightInd w:val="0"/>
              <w:spacing w:before="0" w:after="0"/>
              <w:textAlignment w:val="baseline"/>
              <w:rPr>
                <w:rFonts w:cs="Arial"/>
                <w:bCs/>
              </w:rPr>
            </w:pPr>
            <w:r w:rsidRPr="00BA5C85">
              <w:rPr>
                <w:rFonts w:cs="Arial"/>
                <w:bCs/>
              </w:rPr>
              <w:t>Status</w:t>
            </w:r>
            <w:r w:rsidRPr="00BA5C85">
              <w:rPr>
                <w:rStyle w:val="Endnotenzeichen"/>
                <w:rFonts w:cs="Arial"/>
                <w:bCs/>
              </w:rPr>
              <w:endnoteReference w:id="2"/>
            </w:r>
            <w:r w:rsidRPr="00BA5C85">
              <w:rPr>
                <w:rFonts w:cs="Arial"/>
                <w:bCs/>
              </w:rPr>
              <w:t>:</w:t>
            </w:r>
          </w:p>
        </w:tc>
        <w:bookmarkStart w:id="1" w:name="_GoBack"/>
        <w:tc>
          <w:tcPr>
            <w:tcW w:w="2885" w:type="dxa"/>
            <w:tcBorders>
              <w:bottom w:val="single" w:sz="4" w:space="0" w:color="auto"/>
              <w:right w:val="nil"/>
            </w:tcBorders>
            <w:shd w:val="clear" w:color="auto" w:fill="FFF2CC" w:themeFill="accent4" w:themeFillTint="33"/>
            <w:vAlign w:val="center"/>
          </w:tcPr>
          <w:p w14:paraId="39150357" w14:textId="41094733" w:rsidR="004A17DC" w:rsidRPr="00BA5C85" w:rsidRDefault="004A17DC" w:rsidP="00F82152">
            <w:pPr>
              <w:overflowPunct w:val="0"/>
              <w:autoSpaceDE w:val="0"/>
              <w:autoSpaceDN w:val="0"/>
              <w:adjustRightInd w:val="0"/>
              <w:spacing w:before="0" w:after="0"/>
              <w:textAlignment w:val="baseline"/>
              <w:rPr>
                <w:rFonts w:cs="Arial"/>
                <w:bCs/>
                <w:sz w:val="22"/>
                <w:szCs w:val="22"/>
              </w:rPr>
            </w:pPr>
            <w:r>
              <w:rPr>
                <w:rFonts w:cs="Arial"/>
                <w:bCs/>
                <w:sz w:val="22"/>
                <w:szCs w:val="22"/>
              </w:rPr>
              <w:fldChar w:fldCharType="begin">
                <w:ffData>
                  <w:name w:val=""/>
                  <w:enabled/>
                  <w:calcOnExit w:val="0"/>
                  <w:checkBox>
                    <w:sizeAuto/>
                    <w:default w:val="0"/>
                    <w:checked w:val="0"/>
                  </w:checkBox>
                </w:ffData>
              </w:fldChar>
            </w:r>
            <w:r>
              <w:rPr>
                <w:rFonts w:cs="Arial"/>
                <w:bCs/>
                <w:sz w:val="22"/>
                <w:szCs w:val="22"/>
              </w:rPr>
              <w:instrText xml:space="preserve"> FORMCHECKBOX </w:instrText>
            </w:r>
            <w:r w:rsidR="00650B37">
              <w:rPr>
                <w:rFonts w:cs="Arial"/>
                <w:bCs/>
                <w:sz w:val="22"/>
                <w:szCs w:val="22"/>
              </w:rPr>
            </w:r>
            <w:r w:rsidR="00650B37">
              <w:rPr>
                <w:rFonts w:cs="Arial"/>
                <w:bCs/>
                <w:sz w:val="22"/>
                <w:szCs w:val="22"/>
              </w:rPr>
              <w:fldChar w:fldCharType="separate"/>
            </w:r>
            <w:r>
              <w:rPr>
                <w:rFonts w:cs="Arial"/>
                <w:bCs/>
                <w:sz w:val="22"/>
                <w:szCs w:val="22"/>
              </w:rPr>
              <w:fldChar w:fldCharType="end"/>
            </w:r>
            <w:bookmarkEnd w:id="1"/>
            <w:r w:rsidRPr="00BA5C85">
              <w:rPr>
                <w:rFonts w:cs="Arial"/>
                <w:bCs/>
                <w:sz w:val="22"/>
                <w:szCs w:val="22"/>
              </w:rPr>
              <w:t xml:space="preserve"> SB</w:t>
            </w:r>
          </w:p>
        </w:tc>
        <w:tc>
          <w:tcPr>
            <w:tcW w:w="4635" w:type="dxa"/>
            <w:tcBorders>
              <w:left w:val="nil"/>
              <w:bottom w:val="single" w:sz="4" w:space="0" w:color="auto"/>
            </w:tcBorders>
            <w:shd w:val="clear" w:color="auto" w:fill="FFF2CC" w:themeFill="accent4" w:themeFillTint="33"/>
            <w:vAlign w:val="center"/>
          </w:tcPr>
          <w:p w14:paraId="762DEBFB" w14:textId="77777777" w:rsidR="004A17DC" w:rsidRPr="00BA5C85" w:rsidRDefault="004A17DC" w:rsidP="00F82152">
            <w:pPr>
              <w:overflowPunct w:val="0"/>
              <w:autoSpaceDE w:val="0"/>
              <w:autoSpaceDN w:val="0"/>
              <w:adjustRightInd w:val="0"/>
              <w:spacing w:before="0" w:after="0"/>
              <w:textAlignment w:val="baseline"/>
              <w:rPr>
                <w:rFonts w:cs="Arial"/>
                <w:bCs/>
                <w:sz w:val="22"/>
                <w:szCs w:val="22"/>
              </w:rPr>
            </w:pPr>
            <w:r w:rsidRPr="00BA5C85">
              <w:rPr>
                <w:rFonts w:cs="Arial"/>
                <w:bCs/>
                <w:sz w:val="22"/>
                <w:szCs w:val="22"/>
              </w:rPr>
              <w:fldChar w:fldCharType="begin">
                <w:ffData>
                  <w:name w:val=""/>
                  <w:enabled/>
                  <w:calcOnExit w:val="0"/>
                  <w:checkBox>
                    <w:sizeAuto/>
                    <w:default w:val="0"/>
                    <w:checked w:val="0"/>
                  </w:checkBox>
                </w:ffData>
              </w:fldChar>
            </w:r>
            <w:r w:rsidRPr="00BA5C85">
              <w:rPr>
                <w:rFonts w:cs="Arial"/>
                <w:bCs/>
                <w:sz w:val="22"/>
                <w:szCs w:val="22"/>
              </w:rPr>
              <w:instrText xml:space="preserve"> FORMCHECKBOX </w:instrText>
            </w:r>
            <w:r w:rsidR="00650B37">
              <w:rPr>
                <w:rFonts w:cs="Arial"/>
                <w:bCs/>
                <w:sz w:val="22"/>
                <w:szCs w:val="22"/>
              </w:rPr>
            </w:r>
            <w:r w:rsidR="00650B37">
              <w:rPr>
                <w:rFonts w:cs="Arial"/>
                <w:bCs/>
                <w:sz w:val="22"/>
                <w:szCs w:val="22"/>
              </w:rPr>
              <w:fldChar w:fldCharType="separate"/>
            </w:r>
            <w:r w:rsidRPr="00BA5C85">
              <w:rPr>
                <w:rFonts w:cs="Arial"/>
                <w:bCs/>
                <w:sz w:val="22"/>
                <w:szCs w:val="22"/>
              </w:rPr>
              <w:fldChar w:fldCharType="end"/>
            </w:r>
            <w:r w:rsidRPr="00BA5C85">
              <w:rPr>
                <w:rFonts w:cs="Arial"/>
                <w:bCs/>
                <w:sz w:val="22"/>
                <w:szCs w:val="22"/>
              </w:rPr>
              <w:t xml:space="preserve"> FB</w:t>
            </w:r>
          </w:p>
        </w:tc>
      </w:tr>
      <w:tr w:rsidR="000B1D9D" w:rsidRPr="00BA5C85" w14:paraId="582C9890" w14:textId="77777777" w:rsidTr="00FD6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28" w:type="dxa"/>
            <w:gridSpan w:val="3"/>
            <w:tcBorders>
              <w:top w:val="single" w:sz="4" w:space="0" w:color="auto"/>
              <w:left w:val="single" w:sz="4" w:space="0" w:color="auto"/>
              <w:bottom w:val="single" w:sz="4" w:space="0" w:color="auto"/>
              <w:right w:val="single" w:sz="4" w:space="0" w:color="auto"/>
            </w:tcBorders>
            <w:vAlign w:val="center"/>
          </w:tcPr>
          <w:p w14:paraId="03CC8590" w14:textId="77777777" w:rsidR="000B1D9D" w:rsidRPr="00BA5C85" w:rsidRDefault="00261854" w:rsidP="00F82152">
            <w:pPr>
              <w:pStyle w:val="Kopfzeile"/>
              <w:tabs>
                <w:tab w:val="clear" w:pos="4536"/>
                <w:tab w:val="clear" w:pos="9072"/>
              </w:tabs>
              <w:spacing w:before="0" w:after="0"/>
              <w:rPr>
                <w:rFonts w:ascii="Calibri" w:hAnsi="Calibri" w:cs="Arial"/>
                <w:sz w:val="22"/>
                <w:szCs w:val="22"/>
                <w:lang w:val="de-DE" w:eastAsia="de-DE"/>
              </w:rPr>
            </w:pPr>
            <w:r w:rsidRPr="00BA5C85">
              <w:rPr>
                <w:rFonts w:ascii="Calibri" w:hAnsi="Calibri"/>
                <w:b/>
                <w:sz w:val="22"/>
                <w:szCs w:val="22"/>
                <w:lang w:val="de-DE" w:eastAsia="de-DE"/>
              </w:rPr>
              <w:t xml:space="preserve">Gegenstand der </w:t>
            </w:r>
            <w:r w:rsidR="000A661A" w:rsidRPr="00BA5C85">
              <w:rPr>
                <w:rFonts w:ascii="Calibri" w:hAnsi="Calibri"/>
                <w:b/>
                <w:sz w:val="22"/>
                <w:szCs w:val="22"/>
                <w:lang w:val="de-DE" w:eastAsia="de-DE"/>
              </w:rPr>
              <w:t>Begutachtung</w:t>
            </w:r>
            <w:r w:rsidR="000B1D9D" w:rsidRPr="00BA5C85">
              <w:rPr>
                <w:rFonts w:ascii="Calibri" w:hAnsi="Calibri" w:cs="Arial"/>
                <w:b/>
                <w:bCs/>
                <w:sz w:val="22"/>
                <w:szCs w:val="22"/>
                <w:lang w:val="de-DE" w:eastAsia="de-DE"/>
              </w:rPr>
              <w:t xml:space="preserve"> </w:t>
            </w:r>
            <w:r w:rsidR="000B1D9D" w:rsidRPr="00BA5C85">
              <w:rPr>
                <w:rFonts w:ascii="Calibri" w:hAnsi="Calibri" w:cs="Arial"/>
                <w:bCs/>
                <w:lang w:val="de-DE" w:eastAsia="de-DE"/>
              </w:rPr>
              <w:t>(</w:t>
            </w:r>
            <w:r w:rsidR="00BB1535" w:rsidRPr="00BA5C85">
              <w:rPr>
                <w:rFonts w:ascii="Calibri" w:hAnsi="Calibri" w:cs="Arial"/>
                <w:bCs/>
                <w:lang w:val="de-DE" w:eastAsia="de-DE"/>
              </w:rPr>
              <w:t>Detaillierte Darstellung mit Angabe der Quellen der sektoralen Anforderungen</w:t>
            </w:r>
            <w:r w:rsidR="0013640D" w:rsidRPr="00BA5C85">
              <w:rPr>
                <w:rFonts w:ascii="Calibri" w:hAnsi="Calibri" w:cs="Arial"/>
                <w:bCs/>
                <w:lang w:val="de-DE" w:eastAsia="de-DE"/>
              </w:rPr>
              <w:t>)</w:t>
            </w:r>
          </w:p>
        </w:tc>
      </w:tr>
    </w:tbl>
    <w:p w14:paraId="41E5AF71" w14:textId="77777777" w:rsidR="00C36499" w:rsidRPr="00BA5C85" w:rsidRDefault="00C36499" w:rsidP="001A5285">
      <w:pPr>
        <w:spacing w:before="0" w:after="0"/>
        <w:rPr>
          <w:sz w:val="2"/>
          <w:szCs w:val="2"/>
        </w:rPr>
        <w:sectPr w:rsidR="00C36499" w:rsidRPr="00BA5C85" w:rsidSect="008C67EB">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12"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BA6B83" w:rsidRPr="00BA5C85" w14:paraId="430316F0" w14:textId="77777777" w:rsidTr="00E24600">
        <w:trPr>
          <w:trHeight w:val="113"/>
        </w:trPr>
        <w:tc>
          <w:tcPr>
            <w:tcW w:w="9923" w:type="dxa"/>
            <w:shd w:val="clear" w:color="auto" w:fill="FFF2CC"/>
          </w:tcPr>
          <w:p w14:paraId="238867CE" w14:textId="77777777" w:rsidR="00BA6B83" w:rsidRPr="00BA5C85" w:rsidRDefault="00BA6B83" w:rsidP="003B4228">
            <w:pPr>
              <w:spacing w:before="0" w:after="0"/>
            </w:pPr>
          </w:p>
        </w:tc>
      </w:tr>
    </w:tbl>
    <w:p w14:paraId="6893CB81" w14:textId="77777777" w:rsidR="00AE667F" w:rsidRPr="00BA5C85" w:rsidRDefault="00AE667F" w:rsidP="00E24600">
      <w:pPr>
        <w:spacing w:before="0" w:after="0"/>
        <w:rPr>
          <w:sz w:val="2"/>
          <w:szCs w:val="2"/>
        </w:rPr>
        <w:sectPr w:rsidR="00AE667F" w:rsidRPr="00BA5C85" w:rsidSect="008C67EB">
          <w:endnotePr>
            <w:numFmt w:val="decimal"/>
          </w:endnotePr>
          <w:type w:val="continuous"/>
          <w:pgSz w:w="11906" w:h="16838" w:code="9"/>
          <w:pgMar w:top="567" w:right="1134" w:bottom="851" w:left="1134" w:header="720" w:footer="720" w:gutter="0"/>
          <w:cols w:space="720"/>
          <w:formProt w:val="0"/>
          <w:docGrid w:linePitch="299"/>
        </w:sectPr>
      </w:pPr>
    </w:p>
    <w:p w14:paraId="08F2F74C" w14:textId="77777777" w:rsidR="00131FFB" w:rsidRDefault="0049571B" w:rsidP="00F9403C">
      <w:pPr>
        <w:spacing w:before="120" w:after="0"/>
      </w:pPr>
      <w:r w:rsidRPr="00BA5C85">
        <w:t>Zusätzlich zum Bericht gemäß DIN EN ISO/IEC 170</w:t>
      </w:r>
      <w:r w:rsidR="00C869F8" w:rsidRPr="00BA5C85">
        <w:t>25 für Prüflaboratorien bzw. gemäß DIN EN ISO/IEC 17065 für Zertifizierungsstel</w:t>
      </w:r>
      <w:r w:rsidR="00C03A38" w:rsidRPr="00BA5C85">
        <w:t>l</w:t>
      </w:r>
      <w:r w:rsidR="00C869F8" w:rsidRPr="00BA5C85">
        <w:t>en für Produkte, Prozesse und Dienstleistungen</w:t>
      </w:r>
      <w:r w:rsidRPr="00BA5C85">
        <w:t xml:space="preserve"> werden mit dieser Checkliste/die</w:t>
      </w:r>
      <w:r w:rsidR="00C869F8" w:rsidRPr="00BA5C85">
        <w:t xml:space="preserve">sem Bericht die </w:t>
      </w:r>
      <w:r w:rsidR="00E7433E" w:rsidRPr="00BA5C85">
        <w:t xml:space="preserve">speziellen </w:t>
      </w:r>
      <w:r w:rsidR="00E7433E" w:rsidRPr="00F9403C">
        <w:t>Kriterien</w:t>
      </w:r>
      <w:r w:rsidR="00E7433E" w:rsidRPr="00F9403C">
        <w:rPr>
          <w:rStyle w:val="Endnotenzeichen"/>
        </w:rPr>
        <w:endnoteReference w:id="3"/>
      </w:r>
      <w:r w:rsidR="00C869F8" w:rsidRPr="00F9403C">
        <w:t xml:space="preserve"> für Stellen, die an der Bewertung und Überprüfung von </w:t>
      </w:r>
      <w:r w:rsidR="00F9403C" w:rsidRPr="00F9403C">
        <w:t>Produkten mit digitalen Komponenten, die entsprechend der VO 2019/881 zertifiziert werden</w:t>
      </w:r>
      <w:r w:rsidR="00C03A38" w:rsidRPr="00F9403C">
        <w:t>,</w:t>
      </w:r>
      <w:r w:rsidRPr="00F9403C">
        <w:t xml:space="preserve"> abgebildet.</w:t>
      </w:r>
    </w:p>
    <w:p w14:paraId="6C05D382" w14:textId="77777777" w:rsidR="007A59EC" w:rsidRPr="00F9403C" w:rsidRDefault="0049571B" w:rsidP="00F9403C">
      <w:pPr>
        <w:spacing w:before="120" w:after="0"/>
        <w:rPr>
          <w:b/>
        </w:rPr>
      </w:pPr>
      <w:r w:rsidRPr="00F9403C">
        <w:rPr>
          <w:b/>
        </w:rPr>
        <w:t xml:space="preserve">Die Checkliste enthält lediglich die </w:t>
      </w:r>
      <w:r w:rsidR="00A02840" w:rsidRPr="00F9403C">
        <w:rPr>
          <w:b/>
        </w:rPr>
        <w:t>speziellen</w:t>
      </w:r>
      <w:r w:rsidRPr="00F9403C">
        <w:rPr>
          <w:b/>
        </w:rPr>
        <w:t xml:space="preserve"> Anforderungen de</w:t>
      </w:r>
      <w:r w:rsidR="00F9403C" w:rsidRPr="00F9403C">
        <w:rPr>
          <w:b/>
        </w:rPr>
        <w:t>s Cyber Security Acts und die durch delegierte Rechtsakte erlassenen Zusatzanforderungen</w:t>
      </w:r>
      <w:r w:rsidR="00602E54" w:rsidRPr="00F9403C">
        <w:rPr>
          <w:b/>
        </w:rPr>
        <w:t>, nicht die reinen Querverweise auf die grundlegende Akkreditierungsnorm</w:t>
      </w:r>
      <w:r w:rsidR="00E7433E" w:rsidRPr="00F9403C">
        <w:rPr>
          <w:b/>
        </w:rPr>
        <w:t>en</w:t>
      </w:r>
      <w:r w:rsidRPr="00F9403C">
        <w:rPr>
          <w:b/>
        </w:rPr>
        <w:t xml:space="preserve"> </w:t>
      </w:r>
      <w:r w:rsidR="00E7433E" w:rsidRPr="00F9403C">
        <w:rPr>
          <w:b/>
        </w:rPr>
        <w:t>DIN EN ISO/IEC 17025 bzw. DIN EN ISO/IEC 17065</w:t>
      </w:r>
      <w:r w:rsidR="00602E54" w:rsidRPr="00F9403C">
        <w:rPr>
          <w:b/>
        </w:rPr>
        <w:t>.</w:t>
      </w:r>
    </w:p>
    <w:p w14:paraId="36900535" w14:textId="77777777" w:rsidR="00711BE5" w:rsidRPr="00F9403C" w:rsidRDefault="00AD7754" w:rsidP="0012725C">
      <w:pPr>
        <w:spacing w:before="120" w:after="0"/>
        <w:rPr>
          <w:b/>
        </w:rPr>
      </w:pPr>
      <w:r w:rsidRPr="00F9403C">
        <w:rPr>
          <w:b/>
        </w:rPr>
        <w:t xml:space="preserve">Werden die Prüftätigkeiten durch die Zertifizierungsstelle selbst durchgeführt, </w:t>
      </w:r>
      <w:r w:rsidR="00F9403C" w:rsidRPr="00F9403C">
        <w:rPr>
          <w:b/>
        </w:rPr>
        <w:t>müssen in Teil II dieses Berichts beide Bereiche</w:t>
      </w:r>
      <w:r w:rsidR="008364D1">
        <w:rPr>
          <w:b/>
        </w:rPr>
        <w:t xml:space="preserve"> (Teil IIa und Teil IIb)</w:t>
      </w:r>
      <w:r w:rsidR="00F9403C" w:rsidRPr="00F9403C">
        <w:rPr>
          <w:b/>
        </w:rPr>
        <w:t xml:space="preserve"> ausgefüllt werden.</w:t>
      </w:r>
    </w:p>
    <w:p w14:paraId="4E249A25" w14:textId="77777777" w:rsidR="005E0FAD" w:rsidRPr="00F9403C" w:rsidRDefault="009A4D3E" w:rsidP="0012725C">
      <w:pPr>
        <w:spacing w:before="120" w:after="0"/>
        <w:rPr>
          <w:b/>
        </w:rPr>
      </w:pPr>
      <w:r w:rsidRPr="00F9403C">
        <w:t xml:space="preserve">Diese Checkliste/dieser Bericht wiederholt </w:t>
      </w:r>
      <w:r w:rsidRPr="00F9403C">
        <w:rPr>
          <w:b/>
        </w:rPr>
        <w:t>NICHT</w:t>
      </w:r>
      <w:r w:rsidRPr="00F9403C">
        <w:t xml:space="preserve"> die bereits im Bericht zur DIN</w:t>
      </w:r>
      <w:r w:rsidR="00134B5D" w:rsidRPr="00F9403C">
        <w:t> </w:t>
      </w:r>
      <w:r w:rsidRPr="00F9403C">
        <w:t>EN</w:t>
      </w:r>
      <w:r w:rsidR="00134B5D" w:rsidRPr="00F9403C">
        <w:t> </w:t>
      </w:r>
      <w:r w:rsidRPr="00F9403C">
        <w:t>ISO/IEC</w:t>
      </w:r>
      <w:r w:rsidR="00134B5D" w:rsidRPr="00F9403C">
        <w:t> </w:t>
      </w:r>
      <w:r w:rsidRPr="00F9403C">
        <w:t xml:space="preserve">17025 </w:t>
      </w:r>
      <w:r w:rsidR="00C50F99" w:rsidRPr="00F9403C">
        <w:t xml:space="preserve">bzw. </w:t>
      </w:r>
      <w:r w:rsidR="00134B5D" w:rsidRPr="00F9403C">
        <w:t>DIN EN ISO/IEC </w:t>
      </w:r>
      <w:r w:rsidR="00C50F99" w:rsidRPr="00F9403C">
        <w:t xml:space="preserve">17065 </w:t>
      </w:r>
      <w:r w:rsidR="000E4E65" w:rsidRPr="00F9403C">
        <w:t>aufgeführten o</w:t>
      </w:r>
      <w:r w:rsidRPr="00F9403C">
        <w:t xml:space="preserve">bjektiven Nachweise </w:t>
      </w:r>
      <w:r w:rsidR="000E4E65" w:rsidRPr="00F9403C">
        <w:t>(ON) und e</w:t>
      </w:r>
      <w:r w:rsidRPr="00F9403C">
        <w:t xml:space="preserve">ingesehenen Dokumente </w:t>
      </w:r>
      <w:r w:rsidR="000E4E65" w:rsidRPr="00F9403C">
        <w:t xml:space="preserve">(ED) </w:t>
      </w:r>
      <w:r w:rsidRPr="00F9403C">
        <w:t>oder Text</w:t>
      </w:r>
      <w:r w:rsidR="00C60ABC" w:rsidRPr="00F9403C">
        <w:softHyphen/>
      </w:r>
      <w:r w:rsidRPr="00F9403C">
        <w:t>passagen und Beschreibungen zu Abweichungen. Der zuständige Begutachter KANN jedoch ergänzende Dokumente und Anmerkungen</w:t>
      </w:r>
      <w:r w:rsidR="000E5985" w:rsidRPr="00F9403C">
        <w:t xml:space="preserve"> notieren.</w:t>
      </w:r>
    </w:p>
    <w:p w14:paraId="6D3A59C0" w14:textId="77777777" w:rsidR="004C7629" w:rsidRDefault="00C96561" w:rsidP="004C7629">
      <w:pPr>
        <w:spacing w:before="120" w:after="0"/>
        <w:rPr>
          <w:rFonts w:cs="Arial"/>
        </w:rPr>
      </w:pPr>
      <w:r w:rsidRPr="00F9403C">
        <w:t>Im Interesse der Lesbarkeit wird grundsätzlich die männliche Form von Funktionsbezeichnungen verwendet; dies schließt die weibliche Form ein.</w:t>
      </w:r>
    </w:p>
    <w:p w14:paraId="608AA75E" w14:textId="12E9F85E" w:rsidR="009B26A0" w:rsidRPr="009B26A0" w:rsidRDefault="009B26A0" w:rsidP="009B26A0">
      <w:pPr>
        <w:tabs>
          <w:tab w:val="left" w:pos="3920"/>
        </w:tabs>
        <w:rPr>
          <w:rFonts w:cs="Arial"/>
        </w:rPr>
      </w:pPr>
    </w:p>
    <w:p w14:paraId="5C3A5768" w14:textId="24C8127B" w:rsidR="009B26A0" w:rsidRDefault="009B26A0" w:rsidP="009B26A0">
      <w:pPr>
        <w:rPr>
          <w:rFonts w:cs="Arial"/>
        </w:rPr>
      </w:pPr>
    </w:p>
    <w:p w14:paraId="2A79C483" w14:textId="77777777" w:rsidR="00FA576F" w:rsidRPr="009B26A0" w:rsidRDefault="00FA576F" w:rsidP="009B26A0">
      <w:pPr>
        <w:rPr>
          <w:rFonts w:cs="Arial"/>
        </w:rPr>
        <w:sectPr w:rsidR="00FA576F" w:rsidRPr="009B26A0" w:rsidSect="008C67EB">
          <w:endnotePr>
            <w:numFmt w:val="decimal"/>
          </w:endnotePr>
          <w:type w:val="continuous"/>
          <w:pgSz w:w="11906" w:h="16838" w:code="9"/>
          <w:pgMar w:top="567" w:right="1134" w:bottom="851" w:left="1134" w:header="720" w:footer="720" w:gutter="0"/>
          <w:cols w:space="720"/>
          <w:docGrid w:linePitch="299"/>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84"/>
        <w:gridCol w:w="5221"/>
        <w:gridCol w:w="1745"/>
        <w:gridCol w:w="472"/>
        <w:gridCol w:w="473"/>
        <w:gridCol w:w="473"/>
        <w:gridCol w:w="566"/>
      </w:tblGrid>
      <w:tr w:rsidR="00C56DFD" w:rsidRPr="00BA5C85" w14:paraId="4AFF7BBF" w14:textId="77777777" w:rsidTr="009C317A">
        <w:trPr>
          <w:cantSplit/>
        </w:trPr>
        <w:tc>
          <w:tcPr>
            <w:tcW w:w="684" w:type="dxa"/>
            <w:tcBorders>
              <w:right w:val="nil"/>
            </w:tcBorders>
            <w:shd w:val="clear" w:color="auto" w:fill="DEEAF6" w:themeFill="accent1" w:themeFillTint="33"/>
          </w:tcPr>
          <w:p w14:paraId="68DEE2DF" w14:textId="77777777" w:rsidR="00C56DFD" w:rsidRPr="00C56DFD" w:rsidRDefault="005502D2" w:rsidP="00C56DFD">
            <w:pPr>
              <w:spacing w:before="0" w:after="0"/>
              <w:rPr>
                <w:rFonts w:cs="Arial"/>
                <w:iCs/>
                <w:color w:val="0000CC"/>
              </w:rPr>
            </w:pPr>
            <w:r>
              <w:rPr>
                <w:rFonts w:cs="Arial"/>
                <w:b/>
                <w:iCs/>
                <w:noProof/>
                <w:color w:val="0000CC"/>
              </w:rPr>
              <w:lastRenderedPageBreak/>
              <w:t>Teil Ia</w:t>
            </w:r>
          </w:p>
        </w:tc>
        <w:tc>
          <w:tcPr>
            <w:tcW w:w="5221" w:type="dxa"/>
            <w:tcBorders>
              <w:left w:val="nil"/>
              <w:right w:val="nil"/>
            </w:tcBorders>
            <w:shd w:val="clear" w:color="auto" w:fill="DEEAF6" w:themeFill="accent1" w:themeFillTint="33"/>
          </w:tcPr>
          <w:p w14:paraId="49B266A5" w14:textId="77777777" w:rsidR="00C56DFD" w:rsidRPr="003245F0" w:rsidRDefault="00F9403C" w:rsidP="00C56DFD">
            <w:pPr>
              <w:spacing w:before="0" w:after="0"/>
              <w:rPr>
                <w:rFonts w:cs="Arial"/>
                <w:b/>
                <w:iCs/>
                <w:noProof/>
                <w:color w:val="0000CC"/>
              </w:rPr>
            </w:pPr>
            <w:r w:rsidRPr="003245F0">
              <w:rPr>
                <w:rFonts w:cs="Arial"/>
                <w:b/>
                <w:iCs/>
                <w:noProof/>
                <w:color w:val="0000CC"/>
              </w:rPr>
              <w:t>Allgemeine Anforderungen für Zertifizierungsstellen und ITSEFs nach Anhang I des Cyber Security Acts</w:t>
            </w:r>
          </w:p>
        </w:tc>
        <w:tc>
          <w:tcPr>
            <w:tcW w:w="1745" w:type="dxa"/>
            <w:tcBorders>
              <w:left w:val="nil"/>
              <w:right w:val="nil"/>
            </w:tcBorders>
            <w:shd w:val="clear" w:color="auto" w:fill="DEEAF6" w:themeFill="accent1" w:themeFillTint="33"/>
          </w:tcPr>
          <w:p w14:paraId="5C18956A" w14:textId="77777777" w:rsidR="00C56DFD" w:rsidRPr="00C56DFD" w:rsidRDefault="00C56DFD" w:rsidP="00C56DFD">
            <w:pPr>
              <w:spacing w:before="0" w:after="0"/>
              <w:rPr>
                <w:rFonts w:cs="Arial"/>
                <w:iCs/>
                <w:noProof/>
              </w:rPr>
            </w:pPr>
          </w:p>
        </w:tc>
        <w:tc>
          <w:tcPr>
            <w:tcW w:w="472" w:type="dxa"/>
            <w:tcBorders>
              <w:left w:val="nil"/>
              <w:right w:val="nil"/>
            </w:tcBorders>
            <w:shd w:val="clear" w:color="auto" w:fill="DEEAF6" w:themeFill="accent1" w:themeFillTint="33"/>
          </w:tcPr>
          <w:p w14:paraId="3628FCAB" w14:textId="77777777" w:rsidR="00C56DFD" w:rsidRPr="00C56DFD" w:rsidRDefault="00C56DFD" w:rsidP="00C56DFD">
            <w:pPr>
              <w:keepNext/>
              <w:keepLines/>
              <w:spacing w:before="0" w:after="0"/>
              <w:jc w:val="center"/>
              <w:rPr>
                <w:rFonts w:cs="Arial"/>
                <w:bCs/>
              </w:rPr>
            </w:pPr>
          </w:p>
        </w:tc>
        <w:tc>
          <w:tcPr>
            <w:tcW w:w="473" w:type="dxa"/>
            <w:tcBorders>
              <w:left w:val="nil"/>
              <w:right w:val="nil"/>
            </w:tcBorders>
            <w:shd w:val="clear" w:color="auto" w:fill="DEEAF6" w:themeFill="accent1" w:themeFillTint="33"/>
          </w:tcPr>
          <w:p w14:paraId="5D71FAF2" w14:textId="77777777" w:rsidR="00C56DFD" w:rsidRPr="00C56DFD" w:rsidRDefault="00C56DFD" w:rsidP="00C56DFD">
            <w:pPr>
              <w:keepNext/>
              <w:keepLines/>
              <w:spacing w:before="0" w:after="0"/>
              <w:jc w:val="center"/>
              <w:rPr>
                <w:rFonts w:cs="Arial"/>
                <w:bCs/>
              </w:rPr>
            </w:pPr>
          </w:p>
        </w:tc>
        <w:tc>
          <w:tcPr>
            <w:tcW w:w="473" w:type="dxa"/>
            <w:tcBorders>
              <w:left w:val="nil"/>
              <w:right w:val="nil"/>
            </w:tcBorders>
            <w:shd w:val="clear" w:color="auto" w:fill="DEEAF6" w:themeFill="accent1" w:themeFillTint="33"/>
          </w:tcPr>
          <w:p w14:paraId="78B4F30C" w14:textId="77777777" w:rsidR="00C56DFD" w:rsidRPr="00C56DFD" w:rsidRDefault="00C56DFD" w:rsidP="00C56DFD">
            <w:pPr>
              <w:keepNext/>
              <w:keepLines/>
              <w:spacing w:before="0" w:after="0"/>
              <w:jc w:val="center"/>
              <w:rPr>
                <w:rFonts w:cs="Arial"/>
                <w:bCs/>
              </w:rPr>
            </w:pPr>
          </w:p>
        </w:tc>
        <w:tc>
          <w:tcPr>
            <w:tcW w:w="566" w:type="dxa"/>
            <w:tcBorders>
              <w:left w:val="nil"/>
            </w:tcBorders>
            <w:shd w:val="clear" w:color="auto" w:fill="DEEAF6" w:themeFill="accent1" w:themeFillTint="33"/>
          </w:tcPr>
          <w:p w14:paraId="50DD0B18" w14:textId="77777777" w:rsidR="00C56DFD" w:rsidRPr="00C56DFD" w:rsidRDefault="00C56DFD" w:rsidP="00C56DFD">
            <w:pPr>
              <w:spacing w:before="0" w:after="0"/>
              <w:jc w:val="center"/>
              <w:rPr>
                <w:rFonts w:cs="Arial"/>
                <w:iCs/>
                <w:noProof/>
              </w:rPr>
            </w:pPr>
          </w:p>
        </w:tc>
      </w:tr>
      <w:tr w:rsidR="000A3BC6" w:rsidRPr="00BA5C85" w14:paraId="69548A47" w14:textId="77777777" w:rsidTr="00037208">
        <w:trPr>
          <w:cantSplit/>
        </w:trPr>
        <w:tc>
          <w:tcPr>
            <w:tcW w:w="9634" w:type="dxa"/>
            <w:gridSpan w:val="7"/>
            <w:shd w:val="clear" w:color="auto" w:fill="auto"/>
          </w:tcPr>
          <w:p w14:paraId="463B3B08" w14:textId="77777777" w:rsidR="000A3BC6" w:rsidRPr="00BA5C85" w:rsidRDefault="00061988" w:rsidP="0032709B">
            <w:pPr>
              <w:pStyle w:val="1"/>
              <w:keepNext/>
              <w:keepLines/>
              <w:spacing w:before="0" w:after="0"/>
              <w:ind w:left="357" w:hanging="357"/>
              <w:rPr>
                <w:szCs w:val="20"/>
              </w:rPr>
            </w:pPr>
            <w:r w:rsidRPr="00BA5C85">
              <w:rPr>
                <w:szCs w:val="20"/>
              </w:rPr>
              <w:t>Organisation</w:t>
            </w:r>
          </w:p>
        </w:tc>
      </w:tr>
      <w:tr w:rsidR="009C317A" w:rsidRPr="00BA5C85" w14:paraId="59C9273B" w14:textId="77777777" w:rsidTr="009C317A">
        <w:trPr>
          <w:cantSplit/>
        </w:trPr>
        <w:tc>
          <w:tcPr>
            <w:tcW w:w="684" w:type="dxa"/>
          </w:tcPr>
          <w:p w14:paraId="6B49C6F8" w14:textId="77777777" w:rsidR="009C317A" w:rsidRPr="0036057D" w:rsidRDefault="00715097" w:rsidP="00715097">
            <w:pPr>
              <w:spacing w:before="0" w:after="0"/>
              <w:ind w:left="360"/>
              <w:rPr>
                <w:rFonts w:cs="Arial"/>
                <w:iCs/>
                <w:szCs w:val="18"/>
              </w:rPr>
            </w:pPr>
            <w:r w:rsidRPr="0036057D">
              <w:rPr>
                <w:rFonts w:cs="Arial"/>
                <w:iCs/>
                <w:szCs w:val="18"/>
              </w:rPr>
              <w:t>1</w:t>
            </w:r>
          </w:p>
        </w:tc>
        <w:tc>
          <w:tcPr>
            <w:tcW w:w="5221" w:type="dxa"/>
          </w:tcPr>
          <w:p w14:paraId="0862F7A2" w14:textId="77777777" w:rsidR="009C317A" w:rsidRPr="009C317A" w:rsidRDefault="009C317A" w:rsidP="009C317A">
            <w:pPr>
              <w:spacing w:before="0" w:after="0"/>
              <w:rPr>
                <w:rFonts w:cs="Arial"/>
                <w:iCs/>
                <w:szCs w:val="18"/>
              </w:rPr>
            </w:pPr>
            <w:r>
              <w:t xml:space="preserve">Eine </w:t>
            </w:r>
            <w:r w:rsidR="004949FD">
              <w:t>KBS</w:t>
            </w:r>
            <w:r>
              <w:t xml:space="preserve"> muss nach nationalem Recht gegründet und mit Rechtspersönlichkeit ausgestattet sein.</w:t>
            </w:r>
          </w:p>
        </w:tc>
        <w:tc>
          <w:tcPr>
            <w:tcW w:w="1745" w:type="dxa"/>
            <w:shd w:val="clear" w:color="auto" w:fill="FFF2CC"/>
          </w:tcPr>
          <w:p w14:paraId="57C2A5BE" w14:textId="77777777" w:rsidR="009C317A" w:rsidRPr="00BA5C85" w:rsidRDefault="009C317A" w:rsidP="009C317A">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14:paraId="615D4416" w14:textId="77777777" w:rsidR="009C317A" w:rsidRPr="00BA5C85" w:rsidRDefault="009C317A" w:rsidP="009C317A">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5209E691" w14:textId="77777777" w:rsidR="009C317A" w:rsidRPr="00BA5C85" w:rsidRDefault="009C317A" w:rsidP="009C317A">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60DF3C10" w14:textId="77777777" w:rsidR="009C317A" w:rsidRPr="00BA5C85" w:rsidRDefault="009C317A" w:rsidP="009C317A">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6F102786" w14:textId="77777777" w:rsidR="009C317A" w:rsidRPr="00BA5C85" w:rsidRDefault="009C317A" w:rsidP="009C317A">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9C317A" w:rsidRPr="00BA5C85" w14:paraId="18C6B937" w14:textId="77777777" w:rsidTr="009C317A">
        <w:trPr>
          <w:cantSplit/>
        </w:trPr>
        <w:tc>
          <w:tcPr>
            <w:tcW w:w="684" w:type="dxa"/>
          </w:tcPr>
          <w:p w14:paraId="14F2DD79" w14:textId="77777777" w:rsidR="009C317A" w:rsidRPr="0036057D" w:rsidRDefault="00715097" w:rsidP="0036057D">
            <w:pPr>
              <w:spacing w:before="0" w:after="0"/>
              <w:ind w:left="360"/>
            </w:pPr>
            <w:r w:rsidRPr="0036057D">
              <w:t>2</w:t>
            </w:r>
          </w:p>
        </w:tc>
        <w:tc>
          <w:tcPr>
            <w:tcW w:w="5221" w:type="dxa"/>
          </w:tcPr>
          <w:p w14:paraId="44273908" w14:textId="77777777" w:rsidR="009C317A" w:rsidRPr="009C317A" w:rsidRDefault="009C317A" w:rsidP="009C317A">
            <w:pPr>
              <w:spacing w:before="0" w:after="0"/>
              <w:rPr>
                <w:rFonts w:cs="Arial"/>
                <w:b/>
                <w:iCs/>
                <w:sz w:val="18"/>
                <w:szCs w:val="18"/>
              </w:rPr>
            </w:pPr>
            <w:r>
              <w:t xml:space="preserve">Bei einer </w:t>
            </w:r>
            <w:r w:rsidR="004949FD">
              <w:t>KBS</w:t>
            </w:r>
            <w:r>
              <w:t xml:space="preserve"> muss es sich um einen unabhängigen Dritten handeln, der mit der Einrichtung oder den IKT-Produkten, -Diensten oder -Prozessen, die er bewertet, in keinerlei Verbindung steht. </w:t>
            </w:r>
          </w:p>
          <w:p w14:paraId="2FC3CC16" w14:textId="77777777" w:rsidR="009C317A" w:rsidRPr="003A182C" w:rsidRDefault="009C317A" w:rsidP="009C317A">
            <w:pPr>
              <w:spacing w:before="0" w:after="0"/>
              <w:rPr>
                <w:rFonts w:cs="Arial"/>
                <w:b/>
                <w:iCs/>
                <w:sz w:val="18"/>
                <w:szCs w:val="18"/>
              </w:rPr>
            </w:pPr>
            <w:r w:rsidRPr="003A182C">
              <w:rPr>
                <w:b/>
                <w:sz w:val="18"/>
                <w:szCs w:val="18"/>
                <w:u w:val="single"/>
              </w:rPr>
              <w:t>Anmerkung</w:t>
            </w:r>
            <w:r w:rsidRPr="003A182C">
              <w:rPr>
                <w:b/>
                <w:sz w:val="18"/>
                <w:szCs w:val="18"/>
              </w:rPr>
              <w:t>: Siehe hierzu auch Teil 2 Zusatzanforderungen für ITSEFs für spezifsiche Interpretationen des Schemeowners</w:t>
            </w:r>
          </w:p>
        </w:tc>
        <w:tc>
          <w:tcPr>
            <w:tcW w:w="1745" w:type="dxa"/>
            <w:shd w:val="clear" w:color="auto" w:fill="FFF2CC"/>
          </w:tcPr>
          <w:p w14:paraId="05793C37" w14:textId="77777777" w:rsidR="009C317A" w:rsidRPr="00BA5C85" w:rsidRDefault="009C317A" w:rsidP="009C317A">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1707C3C1" w14:textId="77777777" w:rsidR="009C317A" w:rsidRPr="00BA5C85" w:rsidRDefault="009C317A" w:rsidP="009C317A">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FED7851" w14:textId="77777777" w:rsidR="009C317A" w:rsidRPr="00BA5C85" w:rsidRDefault="009C317A" w:rsidP="009C317A">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742D6D8D" w14:textId="77777777" w:rsidR="009C317A" w:rsidRPr="00BA5C85" w:rsidRDefault="009C317A" w:rsidP="009C317A">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0DD0A7EC" w14:textId="77777777" w:rsidR="009C317A" w:rsidRPr="00BA5C85" w:rsidRDefault="009C317A" w:rsidP="009C317A">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38A39E41" w14:textId="77777777" w:rsidTr="009C317A">
        <w:trPr>
          <w:cantSplit/>
        </w:trPr>
        <w:tc>
          <w:tcPr>
            <w:tcW w:w="684" w:type="dxa"/>
          </w:tcPr>
          <w:p w14:paraId="1ABC3A77" w14:textId="77777777" w:rsidR="0036057D" w:rsidRPr="0036057D" w:rsidRDefault="0036057D" w:rsidP="0036057D">
            <w:pPr>
              <w:spacing w:before="0" w:after="0"/>
              <w:ind w:left="360"/>
            </w:pPr>
            <w:r w:rsidRPr="0036057D">
              <w:t>3</w:t>
            </w:r>
          </w:p>
        </w:tc>
        <w:tc>
          <w:tcPr>
            <w:tcW w:w="5221" w:type="dxa"/>
          </w:tcPr>
          <w:p w14:paraId="421BA5A5" w14:textId="77777777" w:rsidR="0036057D" w:rsidRDefault="0036057D" w:rsidP="0036057D">
            <w:pPr>
              <w:spacing w:before="0" w:after="0"/>
            </w:pPr>
            <w:r>
              <w:t xml:space="preserve">Eine Stelle, die einem Wirtschaftsverband oder einem Fachverband angehört und die IKT-Produkte, -Dienste </w:t>
            </w:r>
            <w:r>
              <w:br/>
              <w:t xml:space="preserve">oder -Prozesse bewertet, an deren Entwurf, Herstellung, Bereitstellung, Montage, Verwendung oder Wartung Unternehmen beteiligt sind, die von diesem Verband vertreten werden, kann als </w:t>
            </w:r>
            <w:r w:rsidR="004949FD">
              <w:t>KBS</w:t>
            </w:r>
            <w:r>
              <w:t xml:space="preserve"> gelten, sofern ihre Unabhängigkeit sowie die Abwesenheit jedweder Interessenkonflikte nachgewiesen sind.</w:t>
            </w:r>
          </w:p>
        </w:tc>
        <w:tc>
          <w:tcPr>
            <w:tcW w:w="1745" w:type="dxa"/>
            <w:shd w:val="clear" w:color="auto" w:fill="FFF2CC"/>
          </w:tcPr>
          <w:p w14:paraId="39AE908B"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78EC0A05"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24966BE"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4F7437E"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3CE502A7"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1DAA9C5A" w14:textId="77777777" w:rsidTr="009C317A">
        <w:trPr>
          <w:cantSplit/>
        </w:trPr>
        <w:tc>
          <w:tcPr>
            <w:tcW w:w="684" w:type="dxa"/>
          </w:tcPr>
          <w:p w14:paraId="77FAF86E" w14:textId="77777777" w:rsidR="0036057D" w:rsidRPr="0036057D" w:rsidRDefault="0036057D" w:rsidP="0036057D">
            <w:pPr>
              <w:spacing w:before="0" w:after="0"/>
              <w:ind w:left="360"/>
            </w:pPr>
            <w:r w:rsidRPr="0036057D">
              <w:t>4</w:t>
            </w:r>
          </w:p>
        </w:tc>
        <w:tc>
          <w:tcPr>
            <w:tcW w:w="5221" w:type="dxa"/>
          </w:tcPr>
          <w:p w14:paraId="72198579" w14:textId="77777777" w:rsidR="0036057D" w:rsidRDefault="0036057D" w:rsidP="0036057D">
            <w:pPr>
              <w:spacing w:before="0" w:after="0"/>
            </w:pPr>
            <w:r>
              <w:t xml:space="preserve">Die </w:t>
            </w:r>
            <w:r w:rsidR="004949FD">
              <w:t>KBS</w:t>
            </w:r>
            <w:r>
              <w:t>, ihre oberste Leitungsebene und die für die Erfüllung der Konformitätsbewertungsaufgaben zuständigen Mitarbeiter dürfen weder Konstrukteur, Hersteller, Lieferant, Installateur, Käufer, Eigentümer, Verwender oder Wartungs</w:t>
            </w:r>
            <w:r w:rsidR="003245F0">
              <w:softHyphen/>
            </w:r>
            <w:r>
              <w:t xml:space="preserve">betrieb des zu bewertenden IKT-Produkts, -Dienstes </w:t>
            </w:r>
            <w:r w:rsidR="003245F0">
              <w:br/>
            </w:r>
            <w:r>
              <w:t xml:space="preserve">oder -Prozesses noch Bevollmächtigter einer dieser Parteien sein. Dieses Verbot schließt nicht die Verwendung von bereits einer Konformitätsbewertung unterzogenen IKT-Produkten, die für die Tätigkeit der </w:t>
            </w:r>
            <w:r w:rsidR="004949FD">
              <w:t>KBS</w:t>
            </w:r>
            <w:r>
              <w:t xml:space="preserve"> nötig sind, oder die Verwendung solcher IKT-Produkte zum persönlichen Gebrauch aus.</w:t>
            </w:r>
          </w:p>
        </w:tc>
        <w:tc>
          <w:tcPr>
            <w:tcW w:w="1745" w:type="dxa"/>
            <w:shd w:val="clear" w:color="auto" w:fill="FFF2CC"/>
          </w:tcPr>
          <w:p w14:paraId="58227A5A"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3DBCB13A"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0AE7D27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7A8100C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4206E5CC"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455852DE" w14:textId="77777777" w:rsidTr="009C317A">
        <w:trPr>
          <w:cantSplit/>
        </w:trPr>
        <w:tc>
          <w:tcPr>
            <w:tcW w:w="684" w:type="dxa"/>
          </w:tcPr>
          <w:p w14:paraId="353CE8FC" w14:textId="77777777" w:rsidR="0036057D" w:rsidRPr="0036057D" w:rsidRDefault="0036057D" w:rsidP="0036057D">
            <w:pPr>
              <w:spacing w:before="0" w:after="0"/>
              <w:ind w:left="360"/>
            </w:pPr>
            <w:r w:rsidRPr="0036057D">
              <w:t>5</w:t>
            </w:r>
          </w:p>
        </w:tc>
        <w:tc>
          <w:tcPr>
            <w:tcW w:w="5221" w:type="dxa"/>
          </w:tcPr>
          <w:p w14:paraId="7CC2DF8A" w14:textId="77777777" w:rsidR="0036057D" w:rsidRDefault="0036057D" w:rsidP="0036057D">
            <w:pPr>
              <w:spacing w:before="0" w:after="0"/>
            </w:pPr>
            <w:r>
              <w:t xml:space="preserve">Die </w:t>
            </w:r>
            <w:r w:rsidR="004949FD">
              <w:t>KBS</w:t>
            </w:r>
            <w:r>
              <w:t>, ihre oberste Leitungsebene und die für die Erfüllung der Konformitätsbewertungsaufgaben zuständigen Mitarbeiter dürfen weder direkt an Entwurf, Herstellung bzw. Bau, Vermarktung, Installation, Verwendung oder Instand</w:t>
            </w:r>
            <w:r w:rsidR="002C2898">
              <w:softHyphen/>
            </w:r>
            <w:r>
              <w:t xml:space="preserve">setzung dieser IKT-Produkte, -Dienste oder -Prozesse beteiligt sein, noch die an diesen Tätigkeiten beteiligten Parteien vertreten. Die </w:t>
            </w:r>
            <w:r w:rsidR="004949FD">
              <w:t>KBS</w:t>
            </w:r>
            <w:r>
              <w:t>, ihre oberste Leitungsebene und die für die Erfüllung der Konformitätsbewertungsaufgaben zuständigen Mitarbeiter dürfen sich nicht mit Tätigkeiten befassen, die ihre Unabhängigkeit bei der Beurteilung oder ihre Integrität im Zusammenhang mit ihren Konformitäts</w:t>
            </w:r>
            <w:r w:rsidR="003A182C">
              <w:softHyphen/>
            </w:r>
            <w:r>
              <w:t>bewertungstätigkeiten, beeinträchtigen können. Dieses Verbot gilt besonders für Beratungsdienste.</w:t>
            </w:r>
          </w:p>
        </w:tc>
        <w:tc>
          <w:tcPr>
            <w:tcW w:w="1745" w:type="dxa"/>
            <w:shd w:val="clear" w:color="auto" w:fill="FFF2CC"/>
          </w:tcPr>
          <w:p w14:paraId="5B06A2B9"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289D7B22"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3C899EB8"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069ACABF"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7B60A2F4"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48DA63A1" w14:textId="77777777" w:rsidTr="009C317A">
        <w:trPr>
          <w:cantSplit/>
        </w:trPr>
        <w:tc>
          <w:tcPr>
            <w:tcW w:w="684" w:type="dxa"/>
          </w:tcPr>
          <w:p w14:paraId="686FDB99" w14:textId="77777777" w:rsidR="0036057D" w:rsidRPr="0036057D" w:rsidRDefault="0036057D" w:rsidP="0036057D">
            <w:pPr>
              <w:spacing w:before="0" w:after="0"/>
              <w:ind w:left="360"/>
            </w:pPr>
            <w:r w:rsidRPr="0036057D">
              <w:t>6</w:t>
            </w:r>
          </w:p>
        </w:tc>
        <w:tc>
          <w:tcPr>
            <w:tcW w:w="5221" w:type="dxa"/>
          </w:tcPr>
          <w:p w14:paraId="26486B54" w14:textId="77777777" w:rsidR="0036057D" w:rsidRDefault="0036057D" w:rsidP="0036057D">
            <w:pPr>
              <w:spacing w:before="0" w:after="0"/>
            </w:pPr>
            <w:r>
              <w:t xml:space="preserve">Falls eine </w:t>
            </w:r>
            <w:r w:rsidR="004949FD">
              <w:t>KBS</w:t>
            </w:r>
            <w:r>
              <w:t xml:space="preserve"> Eigentum einer öffentlichen Stelle oder Einrichtung ist oder von dieser betrieben wird, sind die Unabhängigkeit und die Abwesenheit von Interessenkonflikten zwischen der nationalen Behörde für die Cybersicherheits</w:t>
            </w:r>
            <w:r w:rsidR="003245F0">
              <w:softHyphen/>
            </w:r>
            <w:r>
              <w:t>zertifizierung und der sicherzustellen und zu dokumentieren.</w:t>
            </w:r>
          </w:p>
        </w:tc>
        <w:tc>
          <w:tcPr>
            <w:tcW w:w="1745" w:type="dxa"/>
            <w:shd w:val="clear" w:color="auto" w:fill="FFF2CC"/>
          </w:tcPr>
          <w:p w14:paraId="434A3AD3"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11BF8B2B"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7C4AB447"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58F308D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7EA63208"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2F28EB1B" w14:textId="77777777" w:rsidTr="009C317A">
        <w:trPr>
          <w:cantSplit/>
        </w:trPr>
        <w:tc>
          <w:tcPr>
            <w:tcW w:w="684" w:type="dxa"/>
          </w:tcPr>
          <w:p w14:paraId="7D2CE1BD" w14:textId="77777777" w:rsidR="0036057D" w:rsidRPr="0036057D" w:rsidRDefault="0036057D" w:rsidP="0036057D">
            <w:pPr>
              <w:spacing w:before="0" w:after="0"/>
              <w:ind w:left="360"/>
            </w:pPr>
            <w:r w:rsidRPr="0036057D">
              <w:lastRenderedPageBreak/>
              <w:t>7</w:t>
            </w:r>
          </w:p>
        </w:tc>
        <w:tc>
          <w:tcPr>
            <w:tcW w:w="5221" w:type="dxa"/>
          </w:tcPr>
          <w:p w14:paraId="3DDD1016" w14:textId="77777777" w:rsidR="0036057D" w:rsidRDefault="0036057D" w:rsidP="0036057D">
            <w:pPr>
              <w:spacing w:before="0" w:after="0"/>
            </w:pPr>
            <w:r>
              <w:t xml:space="preserve">Die </w:t>
            </w:r>
            <w:r w:rsidR="004949FD">
              <w:t>KBS</w:t>
            </w:r>
            <w:r>
              <w:t>n müssen sicherstellen, dass die Tätigkeiten ihrer Zweigunternehmen oder Unterauftragnehmer die Vertraulichkeit, Objektivität oder Unparteilichkeit ihrer Konformitätsbewertungstätigkeiten nicht beeinträchtigen.</w:t>
            </w:r>
          </w:p>
        </w:tc>
        <w:tc>
          <w:tcPr>
            <w:tcW w:w="1745" w:type="dxa"/>
            <w:shd w:val="clear" w:color="auto" w:fill="FFF2CC"/>
          </w:tcPr>
          <w:p w14:paraId="64BF02B8"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0ED827CF"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57BF74F"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FCB53A3"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4654680F"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467FDE8D" w14:textId="77777777" w:rsidTr="009C317A">
        <w:trPr>
          <w:cantSplit/>
        </w:trPr>
        <w:tc>
          <w:tcPr>
            <w:tcW w:w="684" w:type="dxa"/>
          </w:tcPr>
          <w:p w14:paraId="4FD0349D" w14:textId="77777777" w:rsidR="0036057D" w:rsidRPr="0036057D" w:rsidRDefault="0036057D" w:rsidP="0036057D">
            <w:pPr>
              <w:spacing w:before="0" w:after="0"/>
              <w:ind w:left="360"/>
            </w:pPr>
            <w:r w:rsidRPr="0036057D">
              <w:t>8</w:t>
            </w:r>
          </w:p>
        </w:tc>
        <w:tc>
          <w:tcPr>
            <w:tcW w:w="5221" w:type="dxa"/>
          </w:tcPr>
          <w:p w14:paraId="017F41A8" w14:textId="77777777" w:rsidR="0036057D" w:rsidRDefault="0036057D" w:rsidP="0036057D">
            <w:pPr>
              <w:spacing w:before="0" w:after="0"/>
            </w:pPr>
            <w:r w:rsidRPr="00131FFB">
              <w:rPr>
                <w:rFonts w:cs="Arial"/>
                <w:iCs/>
                <w:szCs w:val="18"/>
              </w:rPr>
              <w:t xml:space="preserve">Die </w:t>
            </w:r>
            <w:r w:rsidR="004949FD">
              <w:rPr>
                <w:rFonts w:cs="Arial"/>
                <w:iCs/>
                <w:szCs w:val="18"/>
              </w:rPr>
              <w:t>KBS</w:t>
            </w:r>
            <w:r w:rsidRPr="00131FFB">
              <w:rPr>
                <w:rFonts w:cs="Arial"/>
                <w:iCs/>
                <w:szCs w:val="18"/>
              </w:rPr>
              <w:t xml:space="preserve"> und ihre Mitarbeiter müssen die Konformitäts</w:t>
            </w:r>
            <w:r w:rsidR="003A182C">
              <w:rPr>
                <w:rFonts w:cs="Arial"/>
                <w:iCs/>
                <w:szCs w:val="18"/>
              </w:rPr>
              <w:softHyphen/>
            </w:r>
            <w:r w:rsidRPr="00131FFB">
              <w:rPr>
                <w:rFonts w:cs="Arial"/>
                <w:iCs/>
                <w:szCs w:val="18"/>
              </w:rPr>
              <w:t>bewertungstätigkeiten mit höchster beruflicher Integrität und der erforderlichen fachlichen Kompetenz in dem betreffenden Bereich durchführen; sie</w:t>
            </w:r>
            <w:r>
              <w:rPr>
                <w:rFonts w:cs="Arial"/>
                <w:iCs/>
                <w:szCs w:val="18"/>
              </w:rPr>
              <w:t xml:space="preserve"> </w:t>
            </w:r>
            <w:r w:rsidRPr="00160313">
              <w:rPr>
                <w:rFonts w:cs="Arial"/>
                <w:iCs/>
                <w:szCs w:val="18"/>
              </w:rPr>
              <w:t>dürfen keinerlei Einflussnahme durch Druck oder Vergünstigungen, auch finanzieller Art, ausgesetzt sein, die sich auf</w:t>
            </w:r>
            <w:r>
              <w:rPr>
                <w:rFonts w:cs="Arial"/>
                <w:iCs/>
                <w:szCs w:val="18"/>
              </w:rPr>
              <w:t xml:space="preserve"> </w:t>
            </w:r>
            <w:r w:rsidRPr="00160313">
              <w:rPr>
                <w:rFonts w:cs="Arial"/>
                <w:iCs/>
                <w:szCs w:val="18"/>
              </w:rPr>
              <w:t>ihre Beurteilung oder die Ergebnisse ihrer Konformitätsbewertungsarbeit auswirken könnte, insbesondere keinem</w:t>
            </w:r>
            <w:r>
              <w:rPr>
                <w:rFonts w:cs="Arial"/>
                <w:iCs/>
                <w:szCs w:val="18"/>
              </w:rPr>
              <w:t xml:space="preserve"> </w:t>
            </w:r>
            <w:r w:rsidRPr="00160313">
              <w:rPr>
                <w:rFonts w:cs="Arial"/>
                <w:iCs/>
                <w:szCs w:val="18"/>
              </w:rPr>
              <w:t>Druck und keiner Einflussnahme durch Personen oder Personengruppen, die ein Interesse am Ergebnis dieser Tätigkeiten haben.</w:t>
            </w:r>
          </w:p>
        </w:tc>
        <w:tc>
          <w:tcPr>
            <w:tcW w:w="1745" w:type="dxa"/>
            <w:shd w:val="clear" w:color="auto" w:fill="FFF2CC"/>
          </w:tcPr>
          <w:p w14:paraId="0A067C9D"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35E73774"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024726C3"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7EA6B8E3"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D0FE98E"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679091E0" w14:textId="77777777" w:rsidTr="009C317A">
        <w:trPr>
          <w:cantSplit/>
        </w:trPr>
        <w:tc>
          <w:tcPr>
            <w:tcW w:w="684" w:type="dxa"/>
          </w:tcPr>
          <w:p w14:paraId="3289ABA1" w14:textId="77777777" w:rsidR="0036057D" w:rsidRPr="0036057D" w:rsidRDefault="0036057D" w:rsidP="0036057D">
            <w:pPr>
              <w:spacing w:before="0" w:after="0"/>
              <w:ind w:left="360"/>
            </w:pPr>
            <w:r w:rsidRPr="0036057D">
              <w:t>9</w:t>
            </w:r>
          </w:p>
        </w:tc>
        <w:tc>
          <w:tcPr>
            <w:tcW w:w="5221" w:type="dxa"/>
          </w:tcPr>
          <w:p w14:paraId="668A023F" w14:textId="77777777" w:rsidR="0036057D" w:rsidRDefault="0036057D" w:rsidP="0036057D">
            <w:pPr>
              <w:spacing w:before="0" w:after="0"/>
            </w:pPr>
            <w:r w:rsidRPr="00160313">
              <w:rPr>
                <w:rFonts w:cs="Arial"/>
                <w:iCs/>
                <w:szCs w:val="18"/>
              </w:rPr>
              <w:t xml:space="preserve">Eine </w:t>
            </w:r>
            <w:r w:rsidR="004949FD">
              <w:rPr>
                <w:rFonts w:cs="Arial"/>
                <w:iCs/>
                <w:szCs w:val="18"/>
              </w:rPr>
              <w:t>KBS</w:t>
            </w:r>
            <w:r w:rsidRPr="00160313">
              <w:rPr>
                <w:rFonts w:cs="Arial"/>
                <w:iCs/>
                <w:szCs w:val="18"/>
              </w:rPr>
              <w:t xml:space="preserve"> muss in der Lage sein, die bei der Konformitäts</w:t>
            </w:r>
            <w:r w:rsidR="003A182C">
              <w:rPr>
                <w:rFonts w:cs="Arial"/>
                <w:iCs/>
                <w:szCs w:val="18"/>
              </w:rPr>
              <w:softHyphen/>
            </w:r>
            <w:r w:rsidRPr="00160313">
              <w:rPr>
                <w:rFonts w:cs="Arial"/>
                <w:iCs/>
                <w:szCs w:val="18"/>
              </w:rPr>
              <w:t>bewertung anfallenden Aufgaben,</w:t>
            </w:r>
            <w:r>
              <w:rPr>
                <w:rFonts w:cs="Arial"/>
                <w:iCs/>
                <w:szCs w:val="18"/>
              </w:rPr>
              <w:t xml:space="preserve"> </w:t>
            </w:r>
            <w:r w:rsidRPr="00160313">
              <w:rPr>
                <w:rFonts w:cs="Arial"/>
                <w:iCs/>
                <w:szCs w:val="18"/>
              </w:rPr>
              <w:t>die ihr mit dieser Verordnung übertragen wurden, auszuführen, unabhängig davon, ob diese Aufgaben von ihr selbst</w:t>
            </w:r>
            <w:r>
              <w:rPr>
                <w:rFonts w:cs="Arial"/>
                <w:iCs/>
                <w:szCs w:val="18"/>
              </w:rPr>
              <w:t xml:space="preserve"> </w:t>
            </w:r>
            <w:r w:rsidRPr="00160313">
              <w:rPr>
                <w:rFonts w:cs="Arial"/>
                <w:iCs/>
                <w:szCs w:val="18"/>
              </w:rPr>
              <w:t>oder in ihrem Namen und unter ihrer Verantwortung ausgeführt werden. Jegliche Unterauftragsvergabe oder die</w:t>
            </w:r>
            <w:r>
              <w:rPr>
                <w:rFonts w:cs="Arial"/>
                <w:iCs/>
                <w:szCs w:val="18"/>
              </w:rPr>
              <w:t xml:space="preserve"> </w:t>
            </w:r>
            <w:r w:rsidRPr="00160313">
              <w:rPr>
                <w:rFonts w:cs="Arial"/>
                <w:iCs/>
                <w:szCs w:val="18"/>
              </w:rPr>
              <w:t>Inanspruch</w:t>
            </w:r>
            <w:r w:rsidR="003A182C">
              <w:rPr>
                <w:rFonts w:cs="Arial"/>
                <w:iCs/>
                <w:szCs w:val="18"/>
              </w:rPr>
              <w:t>n</w:t>
            </w:r>
            <w:r w:rsidRPr="00160313">
              <w:rPr>
                <w:rFonts w:cs="Arial"/>
                <w:iCs/>
                <w:szCs w:val="18"/>
              </w:rPr>
              <w:t>ahme von externem Personal sind angemessen zu dokumentieren, dürfen nicht über Vermittler erfolgen</w:t>
            </w:r>
            <w:r>
              <w:rPr>
                <w:rFonts w:cs="Arial"/>
                <w:iCs/>
                <w:szCs w:val="18"/>
              </w:rPr>
              <w:t xml:space="preserve"> </w:t>
            </w:r>
            <w:r w:rsidRPr="00160313">
              <w:rPr>
                <w:rFonts w:cs="Arial"/>
                <w:iCs/>
                <w:szCs w:val="18"/>
              </w:rPr>
              <w:t>und bedürfen einer schriftlichen Vereinbarung, in der unter anderem Vertraulichkeitsaspekte und Interessenkonflikte</w:t>
            </w:r>
            <w:r>
              <w:rPr>
                <w:rFonts w:cs="Arial"/>
                <w:iCs/>
                <w:szCs w:val="18"/>
              </w:rPr>
              <w:t xml:space="preserve"> </w:t>
            </w:r>
            <w:r w:rsidRPr="00160313">
              <w:rPr>
                <w:rFonts w:cs="Arial"/>
                <w:iCs/>
                <w:szCs w:val="18"/>
              </w:rPr>
              <w:t xml:space="preserve">geklärt werden. Die betreffende </w:t>
            </w:r>
            <w:r w:rsidR="004949FD">
              <w:rPr>
                <w:rFonts w:cs="Arial"/>
                <w:iCs/>
                <w:szCs w:val="18"/>
              </w:rPr>
              <w:t>KBS</w:t>
            </w:r>
            <w:r w:rsidRPr="00160313">
              <w:rPr>
                <w:rFonts w:cs="Arial"/>
                <w:iCs/>
                <w:szCs w:val="18"/>
              </w:rPr>
              <w:t xml:space="preserve"> übernimmt die volle Verantwortung für die durchgeführten Aufgaben.</w:t>
            </w:r>
          </w:p>
        </w:tc>
        <w:tc>
          <w:tcPr>
            <w:tcW w:w="1745" w:type="dxa"/>
            <w:shd w:val="clear" w:color="auto" w:fill="FFF2CC"/>
          </w:tcPr>
          <w:p w14:paraId="57852505"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29EA0D8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314DBCB"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240AAA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25DE9897"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67092668" w14:textId="77777777" w:rsidTr="009C317A">
        <w:trPr>
          <w:cantSplit/>
        </w:trPr>
        <w:tc>
          <w:tcPr>
            <w:tcW w:w="684" w:type="dxa"/>
          </w:tcPr>
          <w:p w14:paraId="303920FB" w14:textId="77777777" w:rsidR="0036057D" w:rsidRPr="0036057D" w:rsidRDefault="0036057D" w:rsidP="000C4DE4">
            <w:pPr>
              <w:spacing w:before="0" w:after="0"/>
              <w:ind w:left="360" w:hanging="137"/>
            </w:pPr>
            <w:r w:rsidRPr="0036057D">
              <w:t>10</w:t>
            </w:r>
          </w:p>
        </w:tc>
        <w:tc>
          <w:tcPr>
            <w:tcW w:w="5221" w:type="dxa"/>
          </w:tcPr>
          <w:p w14:paraId="1AB31886" w14:textId="77777777" w:rsidR="0036057D" w:rsidRPr="00D2194D" w:rsidRDefault="0036057D" w:rsidP="000C4DE4">
            <w:pPr>
              <w:widowControl w:val="0"/>
              <w:spacing w:before="0" w:after="0"/>
              <w:rPr>
                <w:rFonts w:cs="Arial"/>
                <w:iCs/>
                <w:szCs w:val="18"/>
              </w:rPr>
            </w:pPr>
            <w:r>
              <w:t xml:space="preserve">Eine </w:t>
            </w:r>
            <w:r w:rsidR="004949FD">
              <w:t>KBS</w:t>
            </w:r>
            <w:r>
              <w:t xml:space="preserve"> muss jederzeit, für jedes Konformitätsbewertungs</w:t>
            </w:r>
            <w:r w:rsidR="006A7627">
              <w:softHyphen/>
            </w:r>
            <w:r>
              <w:t xml:space="preserve">verfahren und für jede Art, Kategorie und Unterkategorie von IKT-Produkten -Diensten oder -Prozessen über Folgendes verfügen: </w:t>
            </w:r>
          </w:p>
          <w:p w14:paraId="63C09043" w14:textId="77777777" w:rsidR="0036057D" w:rsidRDefault="0036057D" w:rsidP="000C4DE4">
            <w:pPr>
              <w:pStyle w:val="Listenabsatz"/>
              <w:widowControl w:val="0"/>
              <w:numPr>
                <w:ilvl w:val="1"/>
                <w:numId w:val="37"/>
              </w:numPr>
              <w:spacing w:before="0" w:after="0"/>
              <w:ind w:left="384" w:hanging="384"/>
            </w:pPr>
            <w:r>
              <w:t xml:space="preserve">das erforderliche Personal mit Fachkenntnis und ausreichender einschlägiger Erfahrung, um die bei der Konformitätsbewertung anfallenden Aufgaben zu erfüllen; </w:t>
            </w:r>
          </w:p>
          <w:p w14:paraId="6D6B5465" w14:textId="77777777" w:rsidR="0036057D" w:rsidRDefault="0036057D" w:rsidP="000C4DE4">
            <w:pPr>
              <w:pStyle w:val="Listenabsatz"/>
              <w:widowControl w:val="0"/>
              <w:numPr>
                <w:ilvl w:val="1"/>
                <w:numId w:val="37"/>
              </w:numPr>
              <w:spacing w:before="0" w:after="0"/>
              <w:ind w:left="384" w:hanging="384"/>
            </w:pPr>
            <w:r>
              <w:t>Beschreibungen von Verfahren, nach denen die Konformitätsbewertung durchgeführt wird, um sicherzustellen, dass die Verfahren transparent sind und wiederholt werden können. Sie muss über angemessene Regelungen und Verfahren verfügen, bei denen zwischen den Aufgaben, die sie als nach Artikel 61 notifizierte Stelle wahrnimmt, und ihren anderen Tätigkeiten unter</w:t>
            </w:r>
            <w:r w:rsidR="006A7627">
              <w:softHyphen/>
            </w:r>
            <w:r>
              <w:t xml:space="preserve">schieden wird; L 151/68 Amtsblatt der Europäischen Union 7.6.2019 DE </w:t>
            </w:r>
          </w:p>
          <w:p w14:paraId="4991A2C6" w14:textId="77777777" w:rsidR="0036057D" w:rsidRDefault="0036057D" w:rsidP="000C4DE4">
            <w:pPr>
              <w:pStyle w:val="Listenabsatz"/>
              <w:widowControl w:val="0"/>
              <w:numPr>
                <w:ilvl w:val="1"/>
                <w:numId w:val="37"/>
              </w:numPr>
              <w:spacing w:before="0" w:after="0"/>
              <w:ind w:left="384" w:hanging="384"/>
            </w:pPr>
            <w:r>
              <w:t xml:space="preserve">Verfahren zur Durchführung von Tätigkeiten, bei denen die Größe eines Unternehmens, die Branche, in der es tätig ist, seine Struktur, der Grad an Komplexität der jeweiligen Technologie der ICT-Produkte, -Dienste </w:t>
            </w:r>
            <w:r w:rsidR="006A7627">
              <w:br/>
            </w:r>
            <w:r>
              <w:t>oder -Prozesse und der Umstand, dass es sich um Massenfertigung oder Serienproduktion handelt, gebührend berücksichtigt werden.</w:t>
            </w:r>
          </w:p>
        </w:tc>
        <w:tc>
          <w:tcPr>
            <w:tcW w:w="1745" w:type="dxa"/>
            <w:shd w:val="clear" w:color="auto" w:fill="FFF2CC"/>
          </w:tcPr>
          <w:p w14:paraId="731E57F9"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6E21E7B0"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5C22B13"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4FB2D2E"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300F6CE"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3A89D0F9" w14:textId="77777777" w:rsidTr="009C317A">
        <w:trPr>
          <w:cantSplit/>
        </w:trPr>
        <w:tc>
          <w:tcPr>
            <w:tcW w:w="684" w:type="dxa"/>
          </w:tcPr>
          <w:p w14:paraId="6513615C" w14:textId="77777777" w:rsidR="0036057D" w:rsidRPr="0036057D" w:rsidRDefault="0036057D" w:rsidP="000C4DE4">
            <w:pPr>
              <w:spacing w:before="0" w:after="0"/>
              <w:ind w:left="360" w:hanging="137"/>
            </w:pPr>
            <w:r w:rsidRPr="0036057D">
              <w:lastRenderedPageBreak/>
              <w:t>11</w:t>
            </w:r>
          </w:p>
        </w:tc>
        <w:tc>
          <w:tcPr>
            <w:tcW w:w="5221" w:type="dxa"/>
          </w:tcPr>
          <w:p w14:paraId="338AF0BF" w14:textId="77777777" w:rsidR="0036057D" w:rsidRDefault="0036057D" w:rsidP="0036057D">
            <w:pPr>
              <w:spacing w:before="0" w:after="0"/>
            </w:pPr>
            <w:r>
              <w:t xml:space="preserve">Eine </w:t>
            </w:r>
            <w:r w:rsidR="004949FD">
              <w:t>KBS</w:t>
            </w:r>
            <w:r>
              <w:t xml:space="preserve"> muss über die erforderlichen Mittel zur angemessenen Erledigung der technischen und administrativen Aufgaben verfügen, die mit der Konformitätsbewertung verbunden sind, und Zugang zu allen benötigten Ausrüstungen und Einrichtungen haben.</w:t>
            </w:r>
          </w:p>
        </w:tc>
        <w:tc>
          <w:tcPr>
            <w:tcW w:w="1745" w:type="dxa"/>
            <w:shd w:val="clear" w:color="auto" w:fill="FFF2CC"/>
          </w:tcPr>
          <w:p w14:paraId="74429F8F"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3AF0186D"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7E5E198"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390C4F73"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2850B057"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7461191B" w14:textId="77777777" w:rsidTr="009C317A">
        <w:trPr>
          <w:cantSplit/>
        </w:trPr>
        <w:tc>
          <w:tcPr>
            <w:tcW w:w="684" w:type="dxa"/>
          </w:tcPr>
          <w:p w14:paraId="5422B25A" w14:textId="77777777" w:rsidR="0036057D" w:rsidRPr="0036057D" w:rsidRDefault="0036057D" w:rsidP="000C4DE4">
            <w:pPr>
              <w:spacing w:before="0" w:after="0"/>
              <w:ind w:left="360" w:hanging="137"/>
            </w:pPr>
            <w:r w:rsidRPr="0036057D">
              <w:t>12</w:t>
            </w:r>
          </w:p>
        </w:tc>
        <w:tc>
          <w:tcPr>
            <w:tcW w:w="5221" w:type="dxa"/>
          </w:tcPr>
          <w:p w14:paraId="522114FD" w14:textId="77777777" w:rsidR="0036057D" w:rsidRDefault="0036057D" w:rsidP="0036057D">
            <w:pPr>
              <w:spacing w:before="0" w:after="0"/>
            </w:pPr>
            <w:r>
              <w:t>Die Personen, die für die Durchführung der Konformitäts</w:t>
            </w:r>
            <w:r>
              <w:softHyphen/>
              <w:t xml:space="preserve">bewertungstätigkeiten zuständig sind, müssen Folgendes besitzen: </w:t>
            </w:r>
          </w:p>
          <w:p w14:paraId="5A2F1622" w14:textId="77777777" w:rsidR="0036057D" w:rsidRDefault="0036057D" w:rsidP="0036057D">
            <w:pPr>
              <w:pStyle w:val="Listenabsatz"/>
              <w:numPr>
                <w:ilvl w:val="0"/>
                <w:numId w:val="26"/>
              </w:numPr>
              <w:spacing w:before="0" w:after="0"/>
              <w:ind w:left="384" w:hanging="384"/>
            </w:pPr>
            <w:r>
              <w:t xml:space="preserve">eine solide Fach- und Berufsausbildung, die alle Tätigkeiten der Konformitätsbewertung umfasst; </w:t>
            </w:r>
          </w:p>
          <w:p w14:paraId="5B710997" w14:textId="77777777" w:rsidR="0036057D" w:rsidRDefault="0036057D" w:rsidP="0036057D">
            <w:pPr>
              <w:pStyle w:val="Listenabsatz"/>
              <w:numPr>
                <w:ilvl w:val="0"/>
                <w:numId w:val="26"/>
              </w:numPr>
              <w:spacing w:before="0" w:after="0"/>
              <w:ind w:left="384" w:hanging="384"/>
            </w:pPr>
            <w:r>
              <w:t>eine ausreichende Kenntnis der Anforderungen, die mit den durchzuführenden Konformitätsbewertungen verbunden sind, und die entsprechende Befugnis, solche Bewertungen durchzuführen;</w:t>
            </w:r>
          </w:p>
          <w:p w14:paraId="1A89CDA2" w14:textId="77777777" w:rsidR="0036057D" w:rsidRDefault="0036057D" w:rsidP="0036057D">
            <w:pPr>
              <w:pStyle w:val="Listenabsatz"/>
              <w:numPr>
                <w:ilvl w:val="0"/>
                <w:numId w:val="26"/>
              </w:numPr>
              <w:spacing w:before="0" w:after="0"/>
              <w:ind w:left="384" w:hanging="384"/>
            </w:pPr>
            <w:r>
              <w:t>angemessene Kenntnis und angemessenes Verständnis der geltenden Anforderungen und Prüfnormen;</w:t>
            </w:r>
          </w:p>
          <w:p w14:paraId="33A28948" w14:textId="77777777" w:rsidR="0036057D" w:rsidRDefault="0036057D" w:rsidP="0036057D">
            <w:pPr>
              <w:pStyle w:val="Listenabsatz"/>
              <w:numPr>
                <w:ilvl w:val="0"/>
                <w:numId w:val="26"/>
              </w:numPr>
              <w:spacing w:before="0" w:after="0"/>
              <w:ind w:left="384" w:hanging="384"/>
            </w:pPr>
            <w:r>
              <w:t>die Fähigkeit zur Erstellung von Bescheinigungen, Protokollen und Berichten als Nachweis für durchgeführte Konformitätsbewertungen</w:t>
            </w:r>
          </w:p>
        </w:tc>
        <w:tc>
          <w:tcPr>
            <w:tcW w:w="1745" w:type="dxa"/>
            <w:shd w:val="clear" w:color="auto" w:fill="FFF2CC"/>
          </w:tcPr>
          <w:p w14:paraId="7D79694B"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35C94FCB"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0706E7CE"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EF78122"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6821D123"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0D20B174" w14:textId="77777777" w:rsidTr="009C317A">
        <w:trPr>
          <w:cantSplit/>
        </w:trPr>
        <w:tc>
          <w:tcPr>
            <w:tcW w:w="684" w:type="dxa"/>
          </w:tcPr>
          <w:p w14:paraId="4C0D2881" w14:textId="77777777" w:rsidR="0036057D" w:rsidRPr="0036057D" w:rsidRDefault="0036057D" w:rsidP="000C4DE4">
            <w:pPr>
              <w:spacing w:before="0" w:after="0"/>
              <w:ind w:left="360" w:hanging="137"/>
            </w:pPr>
            <w:r w:rsidRPr="0036057D">
              <w:t>13</w:t>
            </w:r>
          </w:p>
        </w:tc>
        <w:tc>
          <w:tcPr>
            <w:tcW w:w="5221" w:type="dxa"/>
          </w:tcPr>
          <w:p w14:paraId="2FD7B4E8" w14:textId="77777777" w:rsidR="0036057D" w:rsidRDefault="0036057D" w:rsidP="0036057D">
            <w:pPr>
              <w:spacing w:before="0" w:after="0"/>
            </w:pPr>
            <w:r>
              <w:t xml:space="preserve">Die Unparteilichkeit der </w:t>
            </w:r>
            <w:r w:rsidR="004949FD">
              <w:t>KBS</w:t>
            </w:r>
            <w:r>
              <w:t xml:space="preserve">n, ihrer obersten Führungsebene, des für Bewertungen zuständigen Personals der </w:t>
            </w:r>
            <w:r w:rsidR="004949FD">
              <w:t>KBS</w:t>
            </w:r>
            <w:r>
              <w:t xml:space="preserve"> und ihrer Unterauftragnehmer muss gewährleistet sein.</w:t>
            </w:r>
          </w:p>
        </w:tc>
        <w:tc>
          <w:tcPr>
            <w:tcW w:w="1745" w:type="dxa"/>
            <w:shd w:val="clear" w:color="auto" w:fill="FFF2CC"/>
          </w:tcPr>
          <w:p w14:paraId="0143EC2C"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25C7F6D4"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0354E84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6B5EBE4B"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2CB7400B"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2AAC1933" w14:textId="77777777" w:rsidTr="009C317A">
        <w:trPr>
          <w:cantSplit/>
        </w:trPr>
        <w:tc>
          <w:tcPr>
            <w:tcW w:w="684" w:type="dxa"/>
          </w:tcPr>
          <w:p w14:paraId="3A445F3F" w14:textId="77777777" w:rsidR="0036057D" w:rsidRPr="0036057D" w:rsidRDefault="0036057D" w:rsidP="000C4DE4">
            <w:pPr>
              <w:spacing w:before="0" w:after="0"/>
              <w:ind w:left="360" w:hanging="137"/>
            </w:pPr>
            <w:r w:rsidRPr="0036057D">
              <w:t>14</w:t>
            </w:r>
          </w:p>
        </w:tc>
        <w:tc>
          <w:tcPr>
            <w:tcW w:w="5221" w:type="dxa"/>
          </w:tcPr>
          <w:p w14:paraId="6C06BEE3" w14:textId="77777777" w:rsidR="0036057D" w:rsidRDefault="0036057D" w:rsidP="0036057D">
            <w:pPr>
              <w:spacing w:before="0" w:after="0"/>
            </w:pPr>
            <w:r>
              <w:t xml:space="preserve">Die Vergütung für die oberste Leitungsebene und das für Bewertungen zuständige Personal der </w:t>
            </w:r>
            <w:r w:rsidR="004949FD">
              <w:t>KBS</w:t>
            </w:r>
            <w:r>
              <w:t xml:space="preserve"> darf sich nicht nach der Anzahl der durchgeführten Konformitätsbewertungen oder deren Ergebnissen richten.</w:t>
            </w:r>
          </w:p>
        </w:tc>
        <w:tc>
          <w:tcPr>
            <w:tcW w:w="1745" w:type="dxa"/>
            <w:shd w:val="clear" w:color="auto" w:fill="FFF2CC"/>
          </w:tcPr>
          <w:p w14:paraId="59D603D9"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025E7F9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7E508815"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7281867D"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6E1159BA"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29401C03" w14:textId="77777777" w:rsidTr="009C317A">
        <w:trPr>
          <w:cantSplit/>
        </w:trPr>
        <w:tc>
          <w:tcPr>
            <w:tcW w:w="684" w:type="dxa"/>
          </w:tcPr>
          <w:p w14:paraId="274F9145" w14:textId="77777777" w:rsidR="0036057D" w:rsidRPr="0036057D" w:rsidRDefault="0036057D" w:rsidP="000C4DE4">
            <w:pPr>
              <w:spacing w:before="0" w:after="0"/>
              <w:ind w:left="360" w:hanging="137"/>
            </w:pPr>
            <w:r w:rsidRPr="0036057D">
              <w:t>15</w:t>
            </w:r>
          </w:p>
        </w:tc>
        <w:tc>
          <w:tcPr>
            <w:tcW w:w="5221" w:type="dxa"/>
          </w:tcPr>
          <w:p w14:paraId="3284D271" w14:textId="77777777" w:rsidR="0036057D" w:rsidRDefault="0036057D" w:rsidP="0036057D">
            <w:pPr>
              <w:spacing w:before="0" w:after="0"/>
            </w:pPr>
            <w:r w:rsidRPr="00AE5D20">
              <w:t xml:space="preserve">Die </w:t>
            </w:r>
            <w:r w:rsidR="004949FD">
              <w:t>KBS</w:t>
            </w:r>
            <w:r w:rsidRPr="00AE5D20">
              <w:t xml:space="preserve"> müssen eine Haftpflicht</w:t>
            </w:r>
            <w:r>
              <w:softHyphen/>
            </w:r>
            <w:r w:rsidRPr="00AE5D20">
              <w:t>versicherung abschließen, sofern die Haftpflicht nicht aufgrund des nationalen Rechts vom Mitgliedstaat übernommen wird oder der Mitgliedstaat selbst unmittelbar für die Konformitätsbewertung verantwortlich ist.</w:t>
            </w:r>
          </w:p>
        </w:tc>
        <w:tc>
          <w:tcPr>
            <w:tcW w:w="1745" w:type="dxa"/>
            <w:shd w:val="clear" w:color="auto" w:fill="FFF2CC"/>
          </w:tcPr>
          <w:p w14:paraId="2C8A12BE"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47FDC6C2"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6DBEE21B"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EF519A6"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2BE5C840"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218B004E" w14:textId="77777777" w:rsidTr="009C317A">
        <w:trPr>
          <w:cantSplit/>
        </w:trPr>
        <w:tc>
          <w:tcPr>
            <w:tcW w:w="684" w:type="dxa"/>
          </w:tcPr>
          <w:p w14:paraId="1B7F73FC" w14:textId="77777777" w:rsidR="0036057D" w:rsidRPr="0036057D" w:rsidRDefault="0036057D" w:rsidP="000C4DE4">
            <w:pPr>
              <w:spacing w:before="0" w:after="0"/>
              <w:ind w:left="360" w:hanging="137"/>
            </w:pPr>
            <w:r w:rsidRPr="0036057D">
              <w:t>16</w:t>
            </w:r>
          </w:p>
        </w:tc>
        <w:tc>
          <w:tcPr>
            <w:tcW w:w="5221" w:type="dxa"/>
          </w:tcPr>
          <w:p w14:paraId="03915CAC" w14:textId="77777777" w:rsidR="0036057D" w:rsidRDefault="0036057D" w:rsidP="0036057D">
            <w:pPr>
              <w:spacing w:before="0" w:after="0"/>
            </w:pPr>
            <w:r w:rsidRPr="00AE5D20">
              <w:t xml:space="preserve">Die </w:t>
            </w:r>
            <w:r w:rsidR="004949FD">
              <w:t>KBS</w:t>
            </w:r>
            <w:r w:rsidRPr="00AE5D20">
              <w:t xml:space="preserve"> und ihre Mitarbeiter, Gremien, Tochterunternehmen, Unterauftragnehmer und alle verbundenen Stellen oder Mitarbeiter externer Gremien einer </w:t>
            </w:r>
            <w:r w:rsidR="004949FD">
              <w:t>KBS</w:t>
            </w:r>
            <w:r w:rsidRPr="00AE5D20">
              <w:t xml:space="preserve"> müssen die Vertraulichkeit wahren, und die Informationen, die sie bei der Durchführung ihrer Konformitätsbewertungsaufgaben nach dieser Verordnung oder nach einer nationalen Vorschrift zur Durchführung dieser Verordnung erhalten, fallen unter die berufliche Schweigepflicht, außer wenn eine Offenlegung aufgrund von Rechtsvorschriften der Union oder des Mitgliedstaats, denen diese Personen unterliegen, erforderlich ist und außer gegenüber den zuständigen Behörden der Mitgliedstaaten, in denen sie ihre Tätigkeiten ausüben. Die Rechte des geistigen Eigentums sind zu schützen. Die </w:t>
            </w:r>
            <w:r w:rsidR="004949FD">
              <w:t>KBS</w:t>
            </w:r>
            <w:r w:rsidRPr="00AE5D20">
              <w:t xml:space="preserve"> muss über dokumentierte Verfahren in Bezug auf die Anforderungen dieser Nummer verfügen.</w:t>
            </w:r>
          </w:p>
        </w:tc>
        <w:tc>
          <w:tcPr>
            <w:tcW w:w="1745" w:type="dxa"/>
            <w:shd w:val="clear" w:color="auto" w:fill="FFF2CC"/>
          </w:tcPr>
          <w:p w14:paraId="7A9CE8F4"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70A1DADD"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0C5644CD"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649A3154"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0A6360F3"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6A1E0903" w14:textId="77777777" w:rsidTr="009C317A">
        <w:trPr>
          <w:cantSplit/>
        </w:trPr>
        <w:tc>
          <w:tcPr>
            <w:tcW w:w="684" w:type="dxa"/>
          </w:tcPr>
          <w:p w14:paraId="6C976263" w14:textId="77777777" w:rsidR="0036057D" w:rsidRPr="0036057D" w:rsidRDefault="0036057D" w:rsidP="000C4DE4">
            <w:pPr>
              <w:spacing w:before="0" w:after="0"/>
              <w:ind w:left="360" w:hanging="137"/>
            </w:pPr>
            <w:r>
              <w:lastRenderedPageBreak/>
              <w:t>17</w:t>
            </w:r>
          </w:p>
        </w:tc>
        <w:tc>
          <w:tcPr>
            <w:tcW w:w="5221" w:type="dxa"/>
          </w:tcPr>
          <w:p w14:paraId="06A656B2" w14:textId="77777777" w:rsidR="0036057D" w:rsidRDefault="0036057D" w:rsidP="0036057D">
            <w:pPr>
              <w:spacing w:before="0" w:after="0"/>
            </w:pPr>
            <w:r w:rsidRPr="00AE5D20">
              <w:t xml:space="preserve">Abgesehen von Nummer 16 schließen die Anforderungen dieses Anhangs in keiner Weise der Austausch von technischen Informationen und regulatorischen Leitlinien zwischen einer </w:t>
            </w:r>
            <w:r w:rsidR="004949FD">
              <w:t>KBS</w:t>
            </w:r>
            <w:r w:rsidRPr="00AE5D20">
              <w:t xml:space="preserve"> und einer Person, die eine Zertifizierung beantragt oder deren Beantragung in Erwägung zieht, aus.</w:t>
            </w:r>
          </w:p>
        </w:tc>
        <w:tc>
          <w:tcPr>
            <w:tcW w:w="1745" w:type="dxa"/>
            <w:shd w:val="clear" w:color="auto" w:fill="FFF2CC"/>
          </w:tcPr>
          <w:p w14:paraId="36589F57"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00E59AAF"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036BE965"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5DE5758C"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46DB677D"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73D3F304" w14:textId="77777777" w:rsidTr="009C317A">
        <w:trPr>
          <w:cantSplit/>
        </w:trPr>
        <w:tc>
          <w:tcPr>
            <w:tcW w:w="684" w:type="dxa"/>
          </w:tcPr>
          <w:p w14:paraId="1D4CB9CB" w14:textId="77777777" w:rsidR="0036057D" w:rsidRPr="0036057D" w:rsidRDefault="0036057D" w:rsidP="000C4DE4">
            <w:pPr>
              <w:spacing w:before="0" w:after="0"/>
              <w:ind w:left="360" w:hanging="137"/>
            </w:pPr>
            <w:r w:rsidRPr="0036057D">
              <w:t>1</w:t>
            </w:r>
            <w:r>
              <w:t>8</w:t>
            </w:r>
          </w:p>
        </w:tc>
        <w:tc>
          <w:tcPr>
            <w:tcW w:w="5221" w:type="dxa"/>
          </w:tcPr>
          <w:p w14:paraId="23806455" w14:textId="77777777" w:rsidR="0036057D" w:rsidRDefault="004949FD" w:rsidP="0036057D">
            <w:pPr>
              <w:spacing w:before="0" w:after="0"/>
            </w:pPr>
            <w:r>
              <w:t>KBS</w:t>
            </w:r>
            <w:r w:rsidR="0036057D" w:rsidRPr="00AE5D20">
              <w:t xml:space="preserve"> müssen ihre Tätigkeiten im Einklang mit einer Reihe kohärenter, gerechter und angemessener Geschäfts</w:t>
            </w:r>
            <w:r w:rsidR="006A7627">
              <w:softHyphen/>
            </w:r>
            <w:r w:rsidR="0036057D" w:rsidRPr="00AE5D20">
              <w:t>bedingungen ausüben, wobei sie in Bezug auf Gebühren die Interessen der KMU berücksichtigen</w:t>
            </w:r>
            <w:r w:rsidR="0036057D">
              <w:t>.</w:t>
            </w:r>
          </w:p>
        </w:tc>
        <w:tc>
          <w:tcPr>
            <w:tcW w:w="1745" w:type="dxa"/>
            <w:shd w:val="clear" w:color="auto" w:fill="FFF2CC"/>
          </w:tcPr>
          <w:p w14:paraId="0F95E494"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046EB120"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58DC44F"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AB0E09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7EA3FAA8"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BA5C85" w14:paraId="1D835845" w14:textId="77777777" w:rsidTr="009C317A">
        <w:trPr>
          <w:cantSplit/>
        </w:trPr>
        <w:tc>
          <w:tcPr>
            <w:tcW w:w="684" w:type="dxa"/>
          </w:tcPr>
          <w:p w14:paraId="251EE78D" w14:textId="77777777" w:rsidR="0036057D" w:rsidRPr="0036057D" w:rsidRDefault="0036057D" w:rsidP="000C4DE4">
            <w:pPr>
              <w:spacing w:before="0" w:after="0"/>
              <w:ind w:left="360" w:hanging="137"/>
            </w:pPr>
            <w:r w:rsidRPr="0036057D">
              <w:t>1</w:t>
            </w:r>
            <w:r>
              <w:t>9</w:t>
            </w:r>
          </w:p>
        </w:tc>
        <w:tc>
          <w:tcPr>
            <w:tcW w:w="5221" w:type="dxa"/>
          </w:tcPr>
          <w:p w14:paraId="2DA5D2E2" w14:textId="77777777" w:rsidR="0036057D" w:rsidRDefault="0036057D" w:rsidP="0036057D">
            <w:pPr>
              <w:spacing w:before="0" w:after="0"/>
            </w:pPr>
            <w:r w:rsidRPr="00AE5D20">
              <w:t xml:space="preserve">Die </w:t>
            </w:r>
            <w:r w:rsidR="004949FD">
              <w:t>KBS</w:t>
            </w:r>
            <w:r w:rsidRPr="00AE5D20">
              <w:t xml:space="preserve"> müssen die Anforderungen der einschlägigen Norm erfüllen, die gemäß der Verordnung (EG) Nr. 765/2008 </w:t>
            </w:r>
            <w:r w:rsidR="006A7627">
              <w:br/>
            </w:r>
            <w:r w:rsidRPr="00AE5D20">
              <w:t xml:space="preserve">für die Akkreditierung der </w:t>
            </w:r>
            <w:r w:rsidR="004949FD">
              <w:t>KBS</w:t>
            </w:r>
            <w:r w:rsidRPr="00AE5D20">
              <w:t xml:space="preserve">, die die Zertifizierung von </w:t>
            </w:r>
            <w:r w:rsidR="006A7627">
              <w:br/>
            </w:r>
            <w:r w:rsidRPr="00AE5D20">
              <w:t>IKT-Produkten, -Diensten oder -Prozessen vornehmen, harmonisiert ist.</w:t>
            </w:r>
          </w:p>
        </w:tc>
        <w:tc>
          <w:tcPr>
            <w:tcW w:w="1745" w:type="dxa"/>
            <w:shd w:val="clear" w:color="auto" w:fill="FFF2CC"/>
          </w:tcPr>
          <w:p w14:paraId="4D97E697" w14:textId="77777777" w:rsidR="0036057D" w:rsidRPr="00BA5C85" w:rsidRDefault="0036057D" w:rsidP="0036057D">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57761B6D"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69070601"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D7E334C" w14:textId="77777777" w:rsidR="0036057D" w:rsidRPr="00BA5C85" w:rsidRDefault="0036057D" w:rsidP="0036057D">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7D82C9C4" w14:textId="77777777" w:rsidR="0036057D" w:rsidRPr="00BA5C85" w:rsidRDefault="0036057D" w:rsidP="0036057D">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36057D" w:rsidRPr="000C4DE4" w14:paraId="3AD2EB82" w14:textId="77777777" w:rsidTr="009C317A">
        <w:trPr>
          <w:cantSplit/>
        </w:trPr>
        <w:tc>
          <w:tcPr>
            <w:tcW w:w="684" w:type="dxa"/>
          </w:tcPr>
          <w:p w14:paraId="52DE107A" w14:textId="77777777" w:rsidR="0036057D" w:rsidRPr="000C4DE4" w:rsidRDefault="0036057D" w:rsidP="000C4DE4">
            <w:pPr>
              <w:spacing w:before="0" w:after="0"/>
              <w:ind w:left="360" w:hanging="137"/>
            </w:pPr>
            <w:r w:rsidRPr="000C4DE4">
              <w:t>20</w:t>
            </w:r>
          </w:p>
        </w:tc>
        <w:tc>
          <w:tcPr>
            <w:tcW w:w="5221" w:type="dxa"/>
          </w:tcPr>
          <w:p w14:paraId="2C2B081D" w14:textId="77777777" w:rsidR="0036057D" w:rsidRPr="000C4DE4" w:rsidRDefault="0036057D" w:rsidP="0036057D">
            <w:pPr>
              <w:spacing w:before="0" w:after="0"/>
            </w:pPr>
            <w:r w:rsidRPr="000C4DE4">
              <w:t xml:space="preserve">Die </w:t>
            </w:r>
            <w:r w:rsidR="004949FD">
              <w:t>KBS</w:t>
            </w:r>
            <w:r w:rsidRPr="000C4DE4">
              <w:t xml:space="preserve"> müssen sicherstellen, dass die für die Konformitäts</w:t>
            </w:r>
            <w:r w:rsidR="006A7627">
              <w:softHyphen/>
            </w:r>
            <w:r w:rsidRPr="000C4DE4">
              <w:t>bewertung eingesetzten Prüflabors den Anforderungen der einschlägigen Norm entsprechen, die gemäß der Verordnung (EG) Nr. 765/2008 für die Akkreditierung der Labors, die Tests durchführen, harmonisiert ist.</w:t>
            </w:r>
          </w:p>
        </w:tc>
        <w:tc>
          <w:tcPr>
            <w:tcW w:w="1745" w:type="dxa"/>
            <w:shd w:val="clear" w:color="auto" w:fill="FFF2CC"/>
          </w:tcPr>
          <w:p w14:paraId="09E31AAD" w14:textId="77777777" w:rsidR="0036057D" w:rsidRPr="000C4DE4" w:rsidRDefault="0036057D" w:rsidP="0036057D">
            <w:pPr>
              <w:spacing w:before="0" w:after="0"/>
              <w:rPr>
                <w:rFonts w:cs="Arial"/>
                <w:iCs/>
                <w:noProof/>
              </w:rPr>
            </w:pPr>
            <w:r w:rsidRPr="000C4DE4">
              <w:rPr>
                <w:rFonts w:cs="Arial"/>
                <w:iCs/>
                <w:noProof/>
              </w:rPr>
              <w:fldChar w:fldCharType="begin">
                <w:ffData>
                  <w:name w:val="Text4"/>
                  <w:enabled/>
                  <w:calcOnExit w:val="0"/>
                  <w:textInput/>
                </w:ffData>
              </w:fldChar>
            </w:r>
            <w:r w:rsidRPr="000C4DE4">
              <w:rPr>
                <w:rFonts w:cs="Arial"/>
                <w:iCs/>
                <w:noProof/>
              </w:rPr>
              <w:instrText xml:space="preserve"> FORMTEXT </w:instrText>
            </w:r>
            <w:r w:rsidRPr="000C4DE4">
              <w:rPr>
                <w:rFonts w:cs="Arial"/>
                <w:iCs/>
                <w:noProof/>
              </w:rPr>
            </w:r>
            <w:r w:rsidRPr="000C4DE4">
              <w:rPr>
                <w:rFonts w:cs="Arial"/>
                <w:iCs/>
                <w:noProof/>
              </w:rPr>
              <w:fldChar w:fldCharType="separate"/>
            </w:r>
            <w:r w:rsidRPr="000C4DE4">
              <w:rPr>
                <w:rFonts w:cs="Arial"/>
                <w:iCs/>
                <w:noProof/>
              </w:rPr>
              <w:t> </w:t>
            </w:r>
            <w:r w:rsidRPr="000C4DE4">
              <w:rPr>
                <w:rFonts w:cs="Arial"/>
                <w:iCs/>
                <w:noProof/>
              </w:rPr>
              <w:t> </w:t>
            </w:r>
            <w:r w:rsidRPr="000C4DE4">
              <w:rPr>
                <w:rFonts w:cs="Arial"/>
                <w:iCs/>
                <w:noProof/>
              </w:rPr>
              <w:t> </w:t>
            </w:r>
            <w:r w:rsidRPr="000C4DE4">
              <w:rPr>
                <w:rFonts w:cs="Arial"/>
                <w:iCs/>
                <w:noProof/>
              </w:rPr>
              <w:t> </w:t>
            </w:r>
            <w:r w:rsidRPr="000C4DE4">
              <w:rPr>
                <w:rFonts w:cs="Arial"/>
                <w:iCs/>
                <w:noProof/>
              </w:rPr>
              <w:t> </w:t>
            </w:r>
            <w:r w:rsidRPr="000C4DE4">
              <w:rPr>
                <w:rFonts w:cs="Arial"/>
                <w:iCs/>
                <w:noProof/>
              </w:rPr>
              <w:fldChar w:fldCharType="end"/>
            </w:r>
          </w:p>
        </w:tc>
        <w:tc>
          <w:tcPr>
            <w:tcW w:w="472" w:type="dxa"/>
            <w:shd w:val="clear" w:color="auto" w:fill="FFF2CC"/>
          </w:tcPr>
          <w:p w14:paraId="68832607" w14:textId="77777777" w:rsidR="0036057D" w:rsidRPr="000C4DE4" w:rsidRDefault="0036057D" w:rsidP="0036057D">
            <w:pPr>
              <w:spacing w:before="0" w:after="0"/>
              <w:jc w:val="center"/>
              <w:rPr>
                <w:rFonts w:cs="Arial"/>
                <w:bCs/>
              </w:rPr>
            </w:pPr>
            <w:r w:rsidRPr="000C4DE4">
              <w:rPr>
                <w:rFonts w:cs="Arial"/>
                <w:bCs/>
              </w:rPr>
              <w:fldChar w:fldCharType="begin">
                <w:ffData>
                  <w:name w:val=""/>
                  <w:enabled/>
                  <w:calcOnExit w:val="0"/>
                  <w:checkBox>
                    <w:sizeAuto/>
                    <w:default w:val="0"/>
                  </w:checkBox>
                </w:ffData>
              </w:fldChar>
            </w:r>
            <w:r w:rsidRPr="000C4DE4">
              <w:rPr>
                <w:rFonts w:cs="Arial"/>
                <w:bCs/>
              </w:rPr>
              <w:instrText xml:space="preserve"> FORMCHECKBOX </w:instrText>
            </w:r>
            <w:r w:rsidR="00650B37">
              <w:rPr>
                <w:rFonts w:cs="Arial"/>
                <w:bCs/>
              </w:rPr>
            </w:r>
            <w:r w:rsidR="00650B37">
              <w:rPr>
                <w:rFonts w:cs="Arial"/>
                <w:bCs/>
              </w:rPr>
              <w:fldChar w:fldCharType="separate"/>
            </w:r>
            <w:r w:rsidRPr="000C4DE4">
              <w:rPr>
                <w:rFonts w:cs="Arial"/>
                <w:bCs/>
              </w:rPr>
              <w:fldChar w:fldCharType="end"/>
            </w:r>
          </w:p>
        </w:tc>
        <w:tc>
          <w:tcPr>
            <w:tcW w:w="473" w:type="dxa"/>
            <w:shd w:val="clear" w:color="auto" w:fill="FFF2CC"/>
          </w:tcPr>
          <w:p w14:paraId="0A56C9D1" w14:textId="77777777" w:rsidR="0036057D" w:rsidRPr="000C4DE4" w:rsidRDefault="0036057D" w:rsidP="0036057D">
            <w:pPr>
              <w:spacing w:before="0" w:after="0"/>
              <w:jc w:val="center"/>
              <w:rPr>
                <w:rFonts w:cs="Arial"/>
                <w:bCs/>
              </w:rPr>
            </w:pPr>
            <w:r w:rsidRPr="000C4DE4">
              <w:rPr>
                <w:rFonts w:cs="Arial"/>
                <w:bCs/>
              </w:rPr>
              <w:fldChar w:fldCharType="begin">
                <w:ffData>
                  <w:name w:val=""/>
                  <w:enabled/>
                  <w:calcOnExit w:val="0"/>
                  <w:checkBox>
                    <w:sizeAuto/>
                    <w:default w:val="0"/>
                  </w:checkBox>
                </w:ffData>
              </w:fldChar>
            </w:r>
            <w:r w:rsidRPr="000C4DE4">
              <w:rPr>
                <w:rFonts w:cs="Arial"/>
                <w:bCs/>
              </w:rPr>
              <w:instrText xml:space="preserve"> FORMCHECKBOX </w:instrText>
            </w:r>
            <w:r w:rsidR="00650B37">
              <w:rPr>
                <w:rFonts w:cs="Arial"/>
                <w:bCs/>
              </w:rPr>
            </w:r>
            <w:r w:rsidR="00650B37">
              <w:rPr>
                <w:rFonts w:cs="Arial"/>
                <w:bCs/>
              </w:rPr>
              <w:fldChar w:fldCharType="separate"/>
            </w:r>
            <w:r w:rsidRPr="000C4DE4">
              <w:rPr>
                <w:rFonts w:cs="Arial"/>
                <w:bCs/>
              </w:rPr>
              <w:fldChar w:fldCharType="end"/>
            </w:r>
          </w:p>
        </w:tc>
        <w:tc>
          <w:tcPr>
            <w:tcW w:w="473" w:type="dxa"/>
            <w:shd w:val="clear" w:color="auto" w:fill="FFF2CC"/>
          </w:tcPr>
          <w:p w14:paraId="3E890049" w14:textId="77777777" w:rsidR="0036057D" w:rsidRPr="000C4DE4" w:rsidRDefault="0036057D" w:rsidP="0036057D">
            <w:pPr>
              <w:spacing w:before="0" w:after="0"/>
              <w:jc w:val="center"/>
              <w:rPr>
                <w:rFonts w:cs="Arial"/>
                <w:bCs/>
              </w:rPr>
            </w:pPr>
            <w:r w:rsidRPr="000C4DE4">
              <w:rPr>
                <w:rFonts w:cs="Arial"/>
                <w:bCs/>
              </w:rPr>
              <w:fldChar w:fldCharType="begin">
                <w:ffData>
                  <w:name w:val=""/>
                  <w:enabled/>
                  <w:calcOnExit w:val="0"/>
                  <w:checkBox>
                    <w:sizeAuto/>
                    <w:default w:val="0"/>
                  </w:checkBox>
                </w:ffData>
              </w:fldChar>
            </w:r>
            <w:r w:rsidRPr="000C4DE4">
              <w:rPr>
                <w:rFonts w:cs="Arial"/>
                <w:bCs/>
              </w:rPr>
              <w:instrText xml:space="preserve"> FORMCHECKBOX </w:instrText>
            </w:r>
            <w:r w:rsidR="00650B37">
              <w:rPr>
                <w:rFonts w:cs="Arial"/>
                <w:bCs/>
              </w:rPr>
            </w:r>
            <w:r w:rsidR="00650B37">
              <w:rPr>
                <w:rFonts w:cs="Arial"/>
                <w:bCs/>
              </w:rPr>
              <w:fldChar w:fldCharType="separate"/>
            </w:r>
            <w:r w:rsidRPr="000C4DE4">
              <w:rPr>
                <w:rFonts w:cs="Arial"/>
                <w:bCs/>
              </w:rPr>
              <w:fldChar w:fldCharType="end"/>
            </w:r>
          </w:p>
        </w:tc>
        <w:tc>
          <w:tcPr>
            <w:tcW w:w="566" w:type="dxa"/>
            <w:shd w:val="clear" w:color="auto" w:fill="FFF2CC"/>
          </w:tcPr>
          <w:p w14:paraId="28DCD48D" w14:textId="77777777" w:rsidR="0036057D" w:rsidRPr="000C4DE4" w:rsidRDefault="0036057D" w:rsidP="0036057D">
            <w:pPr>
              <w:spacing w:before="0" w:after="0"/>
              <w:jc w:val="center"/>
              <w:rPr>
                <w:rFonts w:cs="Arial"/>
                <w:iCs/>
                <w:noProof/>
              </w:rPr>
            </w:pPr>
            <w:r w:rsidRPr="000C4DE4">
              <w:rPr>
                <w:rFonts w:cs="Arial"/>
                <w:iCs/>
                <w:noProof/>
              </w:rPr>
              <w:fldChar w:fldCharType="begin">
                <w:ffData>
                  <w:name w:val=""/>
                  <w:enabled/>
                  <w:calcOnExit w:val="0"/>
                  <w:textInput>
                    <w:maxLength w:val="3"/>
                  </w:textInput>
                </w:ffData>
              </w:fldChar>
            </w:r>
            <w:r w:rsidRPr="000C4DE4">
              <w:rPr>
                <w:rFonts w:cs="Arial"/>
                <w:iCs/>
                <w:noProof/>
              </w:rPr>
              <w:instrText xml:space="preserve"> FORMTEXT </w:instrText>
            </w:r>
            <w:r w:rsidRPr="000C4DE4">
              <w:rPr>
                <w:rFonts w:cs="Arial"/>
                <w:iCs/>
                <w:noProof/>
              </w:rPr>
            </w:r>
            <w:r w:rsidRPr="000C4DE4">
              <w:rPr>
                <w:rFonts w:cs="Arial"/>
                <w:iCs/>
                <w:noProof/>
              </w:rPr>
              <w:fldChar w:fldCharType="separate"/>
            </w:r>
            <w:r w:rsidRPr="000C4DE4">
              <w:rPr>
                <w:rFonts w:cs="Arial"/>
                <w:iCs/>
                <w:noProof/>
              </w:rPr>
              <w:t> </w:t>
            </w:r>
            <w:r w:rsidRPr="000C4DE4">
              <w:rPr>
                <w:rFonts w:cs="Arial"/>
                <w:iCs/>
                <w:noProof/>
              </w:rPr>
              <w:t> </w:t>
            </w:r>
            <w:r w:rsidRPr="000C4DE4">
              <w:rPr>
                <w:rFonts w:cs="Arial"/>
                <w:iCs/>
                <w:noProof/>
              </w:rPr>
              <w:t> </w:t>
            </w:r>
            <w:r w:rsidRPr="000C4DE4">
              <w:rPr>
                <w:rFonts w:cs="Arial"/>
                <w:iCs/>
                <w:noProof/>
              </w:rPr>
              <w:fldChar w:fldCharType="end"/>
            </w:r>
          </w:p>
        </w:tc>
      </w:tr>
    </w:tbl>
    <w:p w14:paraId="48A19C3D" w14:textId="77777777" w:rsidR="000C4DE4" w:rsidRPr="000C4DE4" w:rsidRDefault="000C4DE4" w:rsidP="00F04EE8">
      <w:pPr>
        <w:spacing w:before="0" w:after="0"/>
        <w:rPr>
          <w:sz w:val="2"/>
          <w:szCs w:val="2"/>
        </w:rPr>
      </w:pPr>
    </w:p>
    <w:p w14:paraId="7AF3AAF8" w14:textId="77777777" w:rsidR="000C4DE4" w:rsidRPr="000C4DE4" w:rsidRDefault="000C4DE4" w:rsidP="00F04EE8">
      <w:pPr>
        <w:spacing w:before="0" w:after="0"/>
        <w:rPr>
          <w:sz w:val="2"/>
          <w:szCs w:val="2"/>
        </w:rPr>
        <w:sectPr w:rsidR="000C4DE4" w:rsidRPr="000C4DE4" w:rsidSect="008C67EB">
          <w:headerReference w:type="default" r:id="rId13"/>
          <w:endnotePr>
            <w:numFmt w:val="decimal"/>
          </w:endnotePr>
          <w:pgSz w:w="11906" w:h="16838" w:code="9"/>
          <w:pgMar w:top="567" w:right="1134" w:bottom="851" w:left="1134" w:header="720" w:footer="720" w:gutter="0"/>
          <w:cols w:space="720"/>
          <w:docGrid w:linePitch="299"/>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87"/>
        <w:gridCol w:w="5218"/>
        <w:gridCol w:w="1745"/>
        <w:gridCol w:w="472"/>
        <w:gridCol w:w="473"/>
        <w:gridCol w:w="473"/>
        <w:gridCol w:w="566"/>
      </w:tblGrid>
      <w:tr w:rsidR="00C56DFD" w:rsidRPr="00BA5C85" w14:paraId="72EB5CDB" w14:textId="77777777" w:rsidTr="00695DED">
        <w:tc>
          <w:tcPr>
            <w:tcW w:w="687" w:type="dxa"/>
            <w:tcBorders>
              <w:right w:val="single" w:sz="4" w:space="0" w:color="auto"/>
            </w:tcBorders>
            <w:shd w:val="clear" w:color="auto" w:fill="DEEAF6" w:themeFill="accent1" w:themeFillTint="33"/>
          </w:tcPr>
          <w:p w14:paraId="70F2F1FD" w14:textId="77777777" w:rsidR="00C56DFD" w:rsidRPr="00C56DFD" w:rsidRDefault="005502D2" w:rsidP="00585805">
            <w:pPr>
              <w:spacing w:before="0" w:after="0"/>
              <w:rPr>
                <w:rFonts w:cs="Arial"/>
                <w:iCs/>
                <w:color w:val="0000CC"/>
              </w:rPr>
            </w:pPr>
            <w:r>
              <w:rPr>
                <w:rFonts w:cs="Arial"/>
                <w:b/>
                <w:iCs/>
                <w:noProof/>
                <w:color w:val="0000CC"/>
              </w:rPr>
              <w:lastRenderedPageBreak/>
              <w:t>Teil IIa</w:t>
            </w:r>
          </w:p>
        </w:tc>
        <w:tc>
          <w:tcPr>
            <w:tcW w:w="5218" w:type="dxa"/>
            <w:tcBorders>
              <w:left w:val="single" w:sz="4" w:space="0" w:color="auto"/>
              <w:right w:val="nil"/>
            </w:tcBorders>
            <w:shd w:val="clear" w:color="auto" w:fill="DEEAF6" w:themeFill="accent1" w:themeFillTint="33"/>
          </w:tcPr>
          <w:p w14:paraId="333A6787" w14:textId="3C0836F1" w:rsidR="00C56DFD" w:rsidRPr="00695DED" w:rsidRDefault="00E734D8" w:rsidP="00585805">
            <w:pPr>
              <w:spacing w:before="0" w:after="0"/>
              <w:rPr>
                <w:rFonts w:cs="Arial"/>
                <w:b/>
                <w:iCs/>
                <w:noProof/>
                <w:color w:val="0000CC"/>
              </w:rPr>
            </w:pPr>
            <w:r w:rsidRPr="00695DED">
              <w:rPr>
                <w:rFonts w:cs="Arial"/>
                <w:b/>
                <w:iCs/>
                <w:noProof/>
                <w:color w:val="0000CC"/>
              </w:rPr>
              <w:t>Spezifische Zusatzanforderungen an ITSEFs</w:t>
            </w:r>
          </w:p>
        </w:tc>
        <w:tc>
          <w:tcPr>
            <w:tcW w:w="1745" w:type="dxa"/>
            <w:tcBorders>
              <w:left w:val="nil"/>
              <w:right w:val="nil"/>
            </w:tcBorders>
            <w:shd w:val="clear" w:color="auto" w:fill="DEEAF6" w:themeFill="accent1" w:themeFillTint="33"/>
          </w:tcPr>
          <w:p w14:paraId="62A2802E" w14:textId="77777777" w:rsidR="00C56DFD" w:rsidRPr="00C56DFD" w:rsidRDefault="00C56DFD" w:rsidP="00585805">
            <w:pPr>
              <w:spacing w:before="0" w:after="0"/>
              <w:rPr>
                <w:rFonts w:cs="Arial"/>
                <w:iCs/>
                <w:noProof/>
              </w:rPr>
            </w:pPr>
          </w:p>
        </w:tc>
        <w:tc>
          <w:tcPr>
            <w:tcW w:w="472" w:type="dxa"/>
            <w:tcBorders>
              <w:left w:val="nil"/>
              <w:right w:val="nil"/>
            </w:tcBorders>
            <w:shd w:val="clear" w:color="auto" w:fill="DEEAF6" w:themeFill="accent1" w:themeFillTint="33"/>
          </w:tcPr>
          <w:p w14:paraId="0F1C5242" w14:textId="77777777" w:rsidR="00C56DFD" w:rsidRPr="00C56DFD" w:rsidRDefault="00C56DFD" w:rsidP="00585805">
            <w:pPr>
              <w:keepNext/>
              <w:keepLines/>
              <w:spacing w:before="0" w:after="0"/>
              <w:jc w:val="center"/>
              <w:rPr>
                <w:rFonts w:cs="Arial"/>
                <w:bCs/>
              </w:rPr>
            </w:pPr>
          </w:p>
        </w:tc>
        <w:tc>
          <w:tcPr>
            <w:tcW w:w="473" w:type="dxa"/>
            <w:tcBorders>
              <w:left w:val="nil"/>
              <w:right w:val="nil"/>
            </w:tcBorders>
            <w:shd w:val="clear" w:color="auto" w:fill="DEEAF6" w:themeFill="accent1" w:themeFillTint="33"/>
          </w:tcPr>
          <w:p w14:paraId="4C8C76E2" w14:textId="77777777" w:rsidR="00C56DFD" w:rsidRPr="00C56DFD" w:rsidRDefault="00C56DFD" w:rsidP="00585805">
            <w:pPr>
              <w:keepNext/>
              <w:keepLines/>
              <w:spacing w:before="0" w:after="0"/>
              <w:jc w:val="center"/>
              <w:rPr>
                <w:rFonts w:cs="Arial"/>
                <w:bCs/>
              </w:rPr>
            </w:pPr>
          </w:p>
        </w:tc>
        <w:tc>
          <w:tcPr>
            <w:tcW w:w="473" w:type="dxa"/>
            <w:tcBorders>
              <w:left w:val="nil"/>
              <w:right w:val="nil"/>
            </w:tcBorders>
            <w:shd w:val="clear" w:color="auto" w:fill="DEEAF6" w:themeFill="accent1" w:themeFillTint="33"/>
          </w:tcPr>
          <w:p w14:paraId="43B98BD3" w14:textId="77777777" w:rsidR="00C56DFD" w:rsidRPr="00C56DFD" w:rsidRDefault="00C56DFD" w:rsidP="00585805">
            <w:pPr>
              <w:keepNext/>
              <w:keepLines/>
              <w:spacing w:before="0" w:after="0"/>
              <w:jc w:val="center"/>
              <w:rPr>
                <w:rFonts w:cs="Arial"/>
                <w:bCs/>
              </w:rPr>
            </w:pPr>
          </w:p>
        </w:tc>
        <w:tc>
          <w:tcPr>
            <w:tcW w:w="566" w:type="dxa"/>
            <w:tcBorders>
              <w:left w:val="nil"/>
            </w:tcBorders>
            <w:shd w:val="clear" w:color="auto" w:fill="DEEAF6" w:themeFill="accent1" w:themeFillTint="33"/>
          </w:tcPr>
          <w:p w14:paraId="403601AF" w14:textId="77777777" w:rsidR="00C56DFD" w:rsidRPr="00C56DFD" w:rsidRDefault="00C56DFD" w:rsidP="004038A5">
            <w:pPr>
              <w:spacing w:before="0" w:after="0"/>
              <w:jc w:val="center"/>
              <w:rPr>
                <w:rFonts w:cs="Arial"/>
                <w:iCs/>
                <w:noProof/>
              </w:rPr>
            </w:pPr>
          </w:p>
        </w:tc>
      </w:tr>
      <w:tr w:rsidR="00585805" w:rsidRPr="00BA5C85" w14:paraId="6A2E5E02" w14:textId="77777777" w:rsidTr="009F7FD9">
        <w:tc>
          <w:tcPr>
            <w:tcW w:w="687" w:type="dxa"/>
          </w:tcPr>
          <w:p w14:paraId="4A5625EF" w14:textId="0FB54C6F" w:rsidR="0028051C" w:rsidRPr="00BA5C85" w:rsidRDefault="0028051C" w:rsidP="00585805">
            <w:pPr>
              <w:spacing w:before="0" w:after="0"/>
              <w:rPr>
                <w:rFonts w:cs="Arial"/>
                <w:iCs/>
                <w:szCs w:val="18"/>
              </w:rPr>
            </w:pPr>
            <w:r>
              <w:rPr>
                <w:rFonts w:cs="Arial"/>
                <w:iCs/>
                <w:szCs w:val="18"/>
              </w:rPr>
              <w:t>6</w:t>
            </w:r>
          </w:p>
        </w:tc>
        <w:tc>
          <w:tcPr>
            <w:tcW w:w="5218" w:type="dxa"/>
          </w:tcPr>
          <w:p w14:paraId="65FA1CB6" w14:textId="5D739A7E" w:rsidR="00585805" w:rsidRPr="00F24712" w:rsidRDefault="00E734D8" w:rsidP="00585805">
            <w:pPr>
              <w:spacing w:before="0" w:after="0"/>
              <w:rPr>
                <w:rFonts w:cs="Arial"/>
                <w:iCs/>
                <w:szCs w:val="18"/>
                <w:lang w:val="en-GB"/>
              </w:rPr>
            </w:pPr>
            <w:r w:rsidRPr="00F24712">
              <w:rPr>
                <w:rFonts w:cs="Arial"/>
                <w:iCs/>
                <w:szCs w:val="18"/>
                <w:lang w:val="en-GB"/>
              </w:rPr>
              <w:t>[</w:t>
            </w:r>
            <w:r w:rsidRPr="00F24712">
              <w:rPr>
                <w:lang w:val="en-GB"/>
              </w:rPr>
              <w:t xml:space="preserve">General] The requirements for the competence of testing </w:t>
            </w:r>
            <w:r w:rsidR="009E1426">
              <w:rPr>
                <w:lang w:val="en-GB"/>
              </w:rPr>
              <w:br/>
            </w:r>
            <w:r w:rsidRPr="00F24712">
              <w:rPr>
                <w:lang w:val="en-GB"/>
              </w:rPr>
              <w:t>and calibration laboratories defined in ISO/IEC 17025:2017 complemented by the requirements defined in ISO/IEC TS 23532-1:2021.</w:t>
            </w:r>
          </w:p>
        </w:tc>
        <w:tc>
          <w:tcPr>
            <w:tcW w:w="1745" w:type="dxa"/>
            <w:shd w:val="clear" w:color="auto" w:fill="FFF2CC"/>
          </w:tcPr>
          <w:p w14:paraId="472C589E" w14:textId="77777777"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0B5091D3"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CF6F8C3"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9B211A8"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F5C1213" w14:textId="77777777"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12E26" w:rsidRPr="00650B37" w14:paraId="7204C1E4" w14:textId="77777777" w:rsidTr="009F7FD9">
        <w:tc>
          <w:tcPr>
            <w:tcW w:w="687" w:type="dxa"/>
          </w:tcPr>
          <w:p w14:paraId="07722427" w14:textId="0F008FDB" w:rsidR="00512E26" w:rsidRDefault="00512E26" w:rsidP="00585805">
            <w:pPr>
              <w:spacing w:before="0" w:after="0"/>
              <w:rPr>
                <w:rFonts w:cs="Arial"/>
                <w:iCs/>
                <w:szCs w:val="18"/>
              </w:rPr>
            </w:pPr>
            <w:r>
              <w:rPr>
                <w:rFonts w:cs="Arial"/>
                <w:iCs/>
                <w:szCs w:val="18"/>
              </w:rPr>
              <w:t>6.2.1</w:t>
            </w:r>
          </w:p>
        </w:tc>
        <w:tc>
          <w:tcPr>
            <w:tcW w:w="5218" w:type="dxa"/>
          </w:tcPr>
          <w:p w14:paraId="071D2830" w14:textId="77777777" w:rsidR="00512E26" w:rsidRDefault="00512E26" w:rsidP="00585805">
            <w:pPr>
              <w:spacing w:before="0" w:after="0"/>
              <w:rPr>
                <w:rFonts w:cs="Arial"/>
                <w:b/>
                <w:iCs/>
                <w:szCs w:val="18"/>
                <w:lang w:val="en-GB"/>
              </w:rPr>
            </w:pPr>
            <w:r w:rsidRPr="006C2297">
              <w:rPr>
                <w:rFonts w:cs="Arial"/>
                <w:b/>
                <w:iCs/>
                <w:szCs w:val="18"/>
                <w:lang w:val="en-GB"/>
              </w:rPr>
              <w:t>Independence</w:t>
            </w:r>
          </w:p>
          <w:p w14:paraId="7CDA41FA" w14:textId="77777777" w:rsidR="00512E26" w:rsidRPr="006C2297" w:rsidRDefault="00512E26" w:rsidP="00512E26">
            <w:pPr>
              <w:spacing w:before="0" w:after="0"/>
              <w:rPr>
                <w:rFonts w:cs="Arial"/>
                <w:iCs/>
                <w:szCs w:val="18"/>
                <w:lang w:val="en-GB"/>
              </w:rPr>
            </w:pPr>
            <w:r w:rsidRPr="006C2297">
              <w:rPr>
                <w:rFonts w:cs="Arial"/>
                <w:iCs/>
                <w:szCs w:val="18"/>
                <w:lang w:val="en-GB"/>
              </w:rPr>
              <w:t>The independence criteria from CSA Annex point 2 shall apply to the ICT product, ICT process, ICT service under evaluation.</w:t>
            </w:r>
          </w:p>
          <w:p w14:paraId="40E1A8A3" w14:textId="5C2219DE" w:rsidR="00512E26" w:rsidRPr="006C2297" w:rsidRDefault="00512E26" w:rsidP="00512E26">
            <w:pPr>
              <w:spacing w:before="0" w:after="0"/>
              <w:rPr>
                <w:rFonts w:cs="Arial"/>
                <w:b/>
                <w:iCs/>
                <w:szCs w:val="18"/>
                <w:lang w:val="en-GB"/>
              </w:rPr>
            </w:pPr>
            <w:r w:rsidRPr="006C2297">
              <w:rPr>
                <w:rFonts w:cs="Arial"/>
                <w:iCs/>
                <w:szCs w:val="18"/>
                <w:lang w:val="en-GB"/>
              </w:rPr>
              <w:t>The ITSEF shall inform its clients of any activity of its legal entity including being a designer, manufacturer, supplier, installer, purchaser, owner, user or maintainer of the ICT product, ICT service or ICT process that might be related to the type of products of the clients.</w:t>
            </w:r>
          </w:p>
        </w:tc>
        <w:tc>
          <w:tcPr>
            <w:tcW w:w="1745" w:type="dxa"/>
            <w:shd w:val="clear" w:color="auto" w:fill="FFF2CC"/>
          </w:tcPr>
          <w:p w14:paraId="2C0F3F18" w14:textId="77777777" w:rsidR="00512E26" w:rsidRPr="009B26A0" w:rsidRDefault="00512E26" w:rsidP="00585805">
            <w:pPr>
              <w:spacing w:before="0" w:after="0"/>
              <w:rPr>
                <w:rFonts w:cs="Arial"/>
                <w:iCs/>
                <w:noProof/>
                <w:sz w:val="18"/>
                <w:szCs w:val="18"/>
                <w:lang w:val="en-GB"/>
              </w:rPr>
            </w:pPr>
          </w:p>
        </w:tc>
        <w:tc>
          <w:tcPr>
            <w:tcW w:w="472" w:type="dxa"/>
            <w:shd w:val="clear" w:color="auto" w:fill="FFF2CC"/>
          </w:tcPr>
          <w:p w14:paraId="5FF4594D" w14:textId="77777777" w:rsidR="00512E26" w:rsidRPr="009B26A0" w:rsidRDefault="00512E26" w:rsidP="00585805">
            <w:pPr>
              <w:keepNext/>
              <w:keepLines/>
              <w:spacing w:before="0" w:after="0"/>
              <w:jc w:val="center"/>
              <w:rPr>
                <w:rFonts w:cs="Arial"/>
                <w:bCs/>
                <w:sz w:val="18"/>
                <w:szCs w:val="18"/>
                <w:lang w:val="en-GB"/>
              </w:rPr>
            </w:pPr>
          </w:p>
        </w:tc>
        <w:tc>
          <w:tcPr>
            <w:tcW w:w="473" w:type="dxa"/>
            <w:shd w:val="clear" w:color="auto" w:fill="FFF2CC"/>
          </w:tcPr>
          <w:p w14:paraId="3C12DA28" w14:textId="77777777" w:rsidR="00512E26" w:rsidRPr="009B26A0" w:rsidRDefault="00512E26" w:rsidP="00585805">
            <w:pPr>
              <w:keepNext/>
              <w:keepLines/>
              <w:spacing w:before="0" w:after="0"/>
              <w:jc w:val="center"/>
              <w:rPr>
                <w:rFonts w:cs="Arial"/>
                <w:bCs/>
                <w:sz w:val="18"/>
                <w:szCs w:val="18"/>
                <w:lang w:val="en-GB"/>
              </w:rPr>
            </w:pPr>
          </w:p>
        </w:tc>
        <w:tc>
          <w:tcPr>
            <w:tcW w:w="473" w:type="dxa"/>
            <w:shd w:val="clear" w:color="auto" w:fill="FFF2CC"/>
          </w:tcPr>
          <w:p w14:paraId="3A47FBAF" w14:textId="77777777" w:rsidR="00512E26" w:rsidRPr="009B26A0" w:rsidRDefault="00512E26" w:rsidP="00585805">
            <w:pPr>
              <w:keepNext/>
              <w:keepLines/>
              <w:spacing w:before="0" w:after="0"/>
              <w:jc w:val="center"/>
              <w:rPr>
                <w:rFonts w:cs="Arial"/>
                <w:bCs/>
                <w:sz w:val="18"/>
                <w:szCs w:val="18"/>
                <w:lang w:val="en-GB"/>
              </w:rPr>
            </w:pPr>
          </w:p>
        </w:tc>
        <w:tc>
          <w:tcPr>
            <w:tcW w:w="566" w:type="dxa"/>
            <w:shd w:val="clear" w:color="auto" w:fill="FFF2CC"/>
          </w:tcPr>
          <w:p w14:paraId="768F4987" w14:textId="77777777" w:rsidR="00512E26" w:rsidRPr="009B26A0" w:rsidRDefault="00512E26" w:rsidP="004038A5">
            <w:pPr>
              <w:spacing w:before="0" w:after="0"/>
              <w:jc w:val="center"/>
              <w:rPr>
                <w:rFonts w:cs="Arial"/>
                <w:iCs/>
                <w:noProof/>
                <w:sz w:val="18"/>
                <w:szCs w:val="18"/>
                <w:lang w:val="en-GB"/>
              </w:rPr>
            </w:pPr>
          </w:p>
        </w:tc>
      </w:tr>
      <w:tr w:rsidR="00585805" w:rsidRPr="00BA5C85" w14:paraId="266F2233" w14:textId="77777777" w:rsidTr="009F7FD9">
        <w:tc>
          <w:tcPr>
            <w:tcW w:w="687" w:type="dxa"/>
          </w:tcPr>
          <w:p w14:paraId="0FD95D47" w14:textId="39420834" w:rsidR="00585805" w:rsidRPr="00BA5C85" w:rsidRDefault="00E734D8" w:rsidP="00585805">
            <w:pPr>
              <w:spacing w:before="0" w:after="0"/>
              <w:rPr>
                <w:rFonts w:cs="Arial"/>
                <w:iCs/>
                <w:szCs w:val="18"/>
              </w:rPr>
            </w:pPr>
            <w:r>
              <w:rPr>
                <w:rFonts w:cs="Arial"/>
                <w:iCs/>
                <w:szCs w:val="18"/>
              </w:rPr>
              <w:t>6.2.</w:t>
            </w:r>
            <w:r w:rsidR="00705B51">
              <w:rPr>
                <w:rFonts w:cs="Arial"/>
                <w:iCs/>
                <w:szCs w:val="18"/>
              </w:rPr>
              <w:t>2</w:t>
            </w:r>
          </w:p>
        </w:tc>
        <w:tc>
          <w:tcPr>
            <w:tcW w:w="5218" w:type="dxa"/>
          </w:tcPr>
          <w:p w14:paraId="20DC2B83" w14:textId="77777777" w:rsidR="00585805" w:rsidRPr="00F24712" w:rsidRDefault="00E734D8" w:rsidP="0028051C">
            <w:pPr>
              <w:spacing w:before="0" w:after="0"/>
              <w:rPr>
                <w:rFonts w:cs="Arial"/>
                <w:b/>
                <w:iCs/>
                <w:szCs w:val="18"/>
                <w:lang w:val="en-GB"/>
              </w:rPr>
            </w:pPr>
            <w:r w:rsidRPr="00F24712">
              <w:rPr>
                <w:rFonts w:cs="Arial"/>
                <w:b/>
                <w:iCs/>
                <w:szCs w:val="18"/>
                <w:lang w:val="en-GB"/>
              </w:rPr>
              <w:t>Impartiality</w:t>
            </w:r>
          </w:p>
          <w:p w14:paraId="397DF557" w14:textId="77777777" w:rsidR="008C0A2E" w:rsidRPr="00F24712" w:rsidRDefault="008C0A2E" w:rsidP="008C0A2E">
            <w:pPr>
              <w:spacing w:before="0" w:after="0"/>
              <w:rPr>
                <w:rFonts w:cs="Arial"/>
                <w:iCs/>
                <w:szCs w:val="18"/>
                <w:lang w:val="en-GB"/>
              </w:rPr>
            </w:pPr>
            <w:r w:rsidRPr="00F24712">
              <w:rPr>
                <w:rFonts w:cs="Arial"/>
                <w:iCs/>
                <w:szCs w:val="18"/>
                <w:lang w:val="en-GB"/>
              </w:rPr>
              <w:t>ISO/IEC 17025:2017, “4.1 Impartiality”</w:t>
            </w:r>
          </w:p>
          <w:p w14:paraId="3039DFA6" w14:textId="77777777" w:rsidR="009C317A" w:rsidRPr="00F24712" w:rsidRDefault="009C317A" w:rsidP="008C0A2E">
            <w:pPr>
              <w:spacing w:before="0" w:after="0"/>
              <w:rPr>
                <w:rFonts w:cs="Arial"/>
                <w:iCs/>
                <w:szCs w:val="18"/>
                <w:lang w:val="en-GB"/>
              </w:rPr>
            </w:pPr>
          </w:p>
          <w:p w14:paraId="3745C35D" w14:textId="77777777" w:rsidR="009C317A" w:rsidRPr="00F24712" w:rsidRDefault="008C0A2E" w:rsidP="008C0A2E">
            <w:pPr>
              <w:spacing w:before="0" w:after="0"/>
              <w:rPr>
                <w:rFonts w:cs="Arial"/>
                <w:iCs/>
                <w:szCs w:val="18"/>
                <w:lang w:val="en-GB"/>
              </w:rPr>
            </w:pPr>
            <w:r w:rsidRPr="00F24712">
              <w:rPr>
                <w:rFonts w:cs="Arial"/>
                <w:iCs/>
                <w:szCs w:val="18"/>
                <w:lang w:val="en-GB"/>
              </w:rPr>
              <w:t>The ITSEF must ensure a strict separation of its responsibilities to maintain impartiality. This can be achieved within the same legal entity by meeting the requirements of EN ISO/IEC 17025 for impartiality. Additionally, an ITSEF is required to implement an ongoing risk analysis process to continuously assess its risks.</w:t>
            </w:r>
            <w:r w:rsidR="009C317A" w:rsidRPr="00F24712">
              <w:rPr>
                <w:rFonts w:cs="Arial"/>
                <w:iCs/>
                <w:szCs w:val="18"/>
                <w:lang w:val="en-GB"/>
              </w:rPr>
              <w:t xml:space="preserve"> </w:t>
            </w:r>
            <w:r w:rsidRPr="00F24712">
              <w:rPr>
                <w:rFonts w:cs="Arial"/>
                <w:iCs/>
                <w:szCs w:val="18"/>
                <w:lang w:val="en-GB"/>
              </w:rPr>
              <w:t>The following list of activities (which builds on EA-2/20 G: 2020) of the ITSEF shall not be considered as “consultancy”:</w:t>
            </w:r>
          </w:p>
          <w:p w14:paraId="0A4384EC" w14:textId="5A949DCA" w:rsidR="00512E26" w:rsidRDefault="008C0A2E" w:rsidP="006A7627">
            <w:pPr>
              <w:ind w:left="384" w:hanging="364"/>
              <w:rPr>
                <w:rFonts w:cs="Arial"/>
                <w:iCs/>
                <w:szCs w:val="18"/>
                <w:lang w:val="en-GB"/>
              </w:rPr>
            </w:pPr>
            <w:r w:rsidRPr="00F24712">
              <w:rPr>
                <w:rFonts w:cs="Arial"/>
                <w:iCs/>
                <w:szCs w:val="18"/>
                <w:lang w:val="en-GB"/>
              </w:rPr>
              <w:t>a)</w:t>
            </w:r>
            <w:r w:rsidRPr="00F24712">
              <w:rPr>
                <w:rFonts w:cs="Arial"/>
                <w:iCs/>
                <w:szCs w:val="18"/>
                <w:lang w:val="en-GB"/>
              </w:rPr>
              <w:tab/>
            </w:r>
            <w:r w:rsidR="00512E26" w:rsidRPr="00512E26">
              <w:rPr>
                <w:rFonts w:cs="Arial"/>
                <w:iCs/>
                <w:szCs w:val="18"/>
                <w:lang w:val="en-GB"/>
              </w:rPr>
              <w:t>Preparation of evaluation documentation and evidence in accordance with the rules defined in Annex B ‘Collection of developer evidence’.</w:t>
            </w:r>
          </w:p>
          <w:p w14:paraId="24A37089" w14:textId="71169448" w:rsidR="008C0A2E" w:rsidRPr="00F24712" w:rsidRDefault="008C0A2E" w:rsidP="006A7627">
            <w:pPr>
              <w:ind w:left="384" w:hanging="364"/>
              <w:rPr>
                <w:rFonts w:cs="Arial"/>
                <w:iCs/>
                <w:szCs w:val="18"/>
                <w:lang w:val="en-GB"/>
              </w:rPr>
            </w:pPr>
            <w:r w:rsidRPr="00F24712">
              <w:rPr>
                <w:rFonts w:cs="Arial"/>
                <w:iCs/>
                <w:szCs w:val="18"/>
                <w:lang w:val="en-GB"/>
              </w:rPr>
              <w:t>b)</w:t>
            </w:r>
            <w:r w:rsidRPr="00F24712">
              <w:rPr>
                <w:rFonts w:cs="Arial"/>
                <w:iCs/>
                <w:szCs w:val="18"/>
                <w:lang w:val="en-GB"/>
              </w:rPr>
              <w:tab/>
              <w:t>Providing general training or guidance on best practices and state-of-the-art, under the following condition:</w:t>
            </w:r>
          </w:p>
          <w:p w14:paraId="2D20ED7F" w14:textId="77777777" w:rsidR="008C0A2E" w:rsidRPr="00F24712" w:rsidRDefault="008C0A2E" w:rsidP="006A7627">
            <w:pPr>
              <w:ind w:left="706" w:hanging="308"/>
              <w:rPr>
                <w:rFonts w:cs="Arial"/>
                <w:iCs/>
                <w:szCs w:val="18"/>
                <w:lang w:val="en-GB"/>
              </w:rPr>
            </w:pPr>
            <w:r w:rsidRPr="00F24712">
              <w:rPr>
                <w:rFonts w:cs="Arial"/>
                <w:iCs/>
                <w:szCs w:val="18"/>
                <w:lang w:val="en-GB"/>
              </w:rPr>
              <w:t>-</w:t>
            </w:r>
            <w:r w:rsidRPr="00F24712">
              <w:rPr>
                <w:rFonts w:cs="Arial"/>
                <w:iCs/>
                <w:szCs w:val="18"/>
                <w:lang w:val="en-GB"/>
              </w:rPr>
              <w:tab/>
              <w:t>This activity shall exclude recommendations regarding the implementation of a specific architecture or mechanism.</w:t>
            </w:r>
          </w:p>
          <w:p w14:paraId="54A3D5B1" w14:textId="2F569B2E" w:rsidR="00512E26" w:rsidRPr="00512E26" w:rsidRDefault="008C0A2E" w:rsidP="00512E26">
            <w:pPr>
              <w:ind w:left="384" w:hanging="364"/>
              <w:rPr>
                <w:rFonts w:cs="Arial"/>
                <w:iCs/>
                <w:szCs w:val="18"/>
                <w:lang w:val="en-GB"/>
              </w:rPr>
            </w:pPr>
            <w:r w:rsidRPr="00F24712">
              <w:rPr>
                <w:rFonts w:cs="Arial"/>
                <w:iCs/>
                <w:szCs w:val="18"/>
                <w:lang w:val="en-GB"/>
              </w:rPr>
              <w:t>c)</w:t>
            </w:r>
            <w:r w:rsidRPr="00F24712">
              <w:rPr>
                <w:rFonts w:cs="Arial"/>
                <w:iCs/>
                <w:szCs w:val="18"/>
                <w:lang w:val="en-GB"/>
              </w:rPr>
              <w:tab/>
              <w:t xml:space="preserve"> </w:t>
            </w:r>
            <w:r w:rsidR="00512E26" w:rsidRPr="00512E26">
              <w:rPr>
                <w:rFonts w:cs="Arial"/>
                <w:iCs/>
                <w:szCs w:val="18"/>
                <w:lang w:val="en-GB"/>
              </w:rPr>
              <w:t>Providing technical analysis of product failures (including vulnerabilities), under the following conditions:</w:t>
            </w:r>
          </w:p>
          <w:p w14:paraId="2C49D107" w14:textId="1FC20D79" w:rsidR="00512E26" w:rsidRPr="006C2297" w:rsidRDefault="00512E26" w:rsidP="006C2297">
            <w:pPr>
              <w:pStyle w:val="Listenabsatz"/>
              <w:numPr>
                <w:ilvl w:val="0"/>
                <w:numId w:val="44"/>
              </w:numPr>
              <w:rPr>
                <w:rFonts w:cs="Arial"/>
                <w:iCs/>
                <w:szCs w:val="18"/>
                <w:lang w:val="en-GB"/>
              </w:rPr>
            </w:pPr>
            <w:r w:rsidRPr="006C2297">
              <w:rPr>
                <w:rFonts w:cs="Arial"/>
                <w:iCs/>
                <w:szCs w:val="18"/>
                <w:lang w:val="en-GB"/>
              </w:rPr>
              <w:t>The scope shall be clearly presented in the contract;</w:t>
            </w:r>
          </w:p>
          <w:p w14:paraId="26E4B856" w14:textId="4CFA8041" w:rsidR="00512E26" w:rsidRPr="006C2297" w:rsidRDefault="00512E26" w:rsidP="006C2297">
            <w:pPr>
              <w:pStyle w:val="Listenabsatz"/>
              <w:numPr>
                <w:ilvl w:val="0"/>
                <w:numId w:val="44"/>
              </w:numPr>
              <w:rPr>
                <w:rFonts w:cs="Arial"/>
                <w:iCs/>
                <w:szCs w:val="18"/>
                <w:lang w:val="en-GB"/>
              </w:rPr>
            </w:pPr>
            <w:r w:rsidRPr="006C2297">
              <w:rPr>
                <w:rFonts w:cs="Arial"/>
                <w:iCs/>
                <w:szCs w:val="18"/>
                <w:lang w:val="en-GB"/>
              </w:rPr>
              <w:t>The delivery of the activity shall be limited to diagnosis;</w:t>
            </w:r>
          </w:p>
          <w:p w14:paraId="464D3AC7" w14:textId="79349E60" w:rsidR="00512E26" w:rsidRPr="006C2297" w:rsidRDefault="00512E26" w:rsidP="006C2297">
            <w:pPr>
              <w:pStyle w:val="Listenabsatz"/>
              <w:numPr>
                <w:ilvl w:val="0"/>
                <w:numId w:val="44"/>
              </w:numPr>
              <w:rPr>
                <w:rFonts w:cs="Arial"/>
                <w:iCs/>
                <w:szCs w:val="18"/>
                <w:lang w:val="en-GB"/>
              </w:rPr>
            </w:pPr>
            <w:r w:rsidRPr="006C2297">
              <w:rPr>
                <w:rFonts w:cs="Arial"/>
                <w:iCs/>
                <w:szCs w:val="18"/>
                <w:lang w:val="en-GB"/>
              </w:rPr>
              <w:t>The ITSEF personal shall commit to not recommend solutions and this commitment shall be recorded by the ITSEF</w:t>
            </w:r>
          </w:p>
          <w:p w14:paraId="3088AE5D" w14:textId="58E4A342" w:rsidR="00512E26" w:rsidRDefault="008C0A2E" w:rsidP="00512E26">
            <w:pPr>
              <w:rPr>
                <w:rFonts w:cs="Arial"/>
                <w:iCs/>
                <w:szCs w:val="18"/>
                <w:lang w:val="en-GB"/>
              </w:rPr>
            </w:pPr>
            <w:r w:rsidRPr="00F24712">
              <w:rPr>
                <w:rFonts w:cs="Arial"/>
                <w:iCs/>
                <w:szCs w:val="18"/>
                <w:lang w:val="en-GB"/>
              </w:rPr>
              <w:t>d)</w:t>
            </w:r>
            <w:r w:rsidRPr="00F24712">
              <w:rPr>
                <w:rFonts w:cs="Arial"/>
                <w:iCs/>
                <w:szCs w:val="18"/>
                <w:lang w:val="en-GB"/>
              </w:rPr>
              <w:tab/>
            </w:r>
            <w:r w:rsidR="00512E26" w:rsidRPr="00512E26">
              <w:rPr>
                <w:rFonts w:cs="Arial"/>
                <w:iCs/>
                <w:szCs w:val="18"/>
                <w:lang w:val="en-GB"/>
              </w:rPr>
              <w:t xml:space="preserve">Participation to R&amp;D projects, studies and to the maintenance of the EUCC scheme related to or emcompassing the categories of ICT products and technologies for which the ITSEF is accredited (e.g.: high level study into general market/design/production trends within the overall sector, feasibility studies on certification schemes reusing EUCC certification, mapping between EUCC certification and other </w:t>
            </w:r>
            <w:r w:rsidR="00512E26" w:rsidRPr="00512E26">
              <w:rPr>
                <w:rFonts w:cs="Arial"/>
                <w:iCs/>
                <w:szCs w:val="18"/>
                <w:lang w:val="en-GB"/>
              </w:rPr>
              <w:lastRenderedPageBreak/>
              <w:t>regulations, participation to the definition and update of EUCC state-of-the-art documents and guidance), under the condition that:</w:t>
            </w:r>
          </w:p>
          <w:p w14:paraId="5657F484" w14:textId="661435CA" w:rsidR="00FA576F" w:rsidRPr="006C2297" w:rsidRDefault="00FA576F" w:rsidP="006C2297">
            <w:pPr>
              <w:pStyle w:val="Listenabsatz"/>
              <w:numPr>
                <w:ilvl w:val="0"/>
                <w:numId w:val="50"/>
              </w:numPr>
              <w:rPr>
                <w:rFonts w:cs="Arial"/>
                <w:iCs/>
                <w:szCs w:val="18"/>
                <w:lang w:val="en-GB"/>
              </w:rPr>
            </w:pPr>
            <w:r w:rsidRPr="002A3C9C">
              <w:rPr>
                <w:rFonts w:cs="Arial"/>
                <w:iCs/>
                <w:szCs w:val="18"/>
                <w:lang w:val="en-GB"/>
              </w:rPr>
              <w:t>The ITSEF shall allow the results to be made publicly available</w:t>
            </w:r>
          </w:p>
          <w:p w14:paraId="379FF528" w14:textId="77777777" w:rsidR="000D4468" w:rsidRPr="000D4468" w:rsidRDefault="008C0A2E" w:rsidP="006C2297">
            <w:pPr>
              <w:rPr>
                <w:rFonts w:cs="Arial"/>
                <w:iCs/>
                <w:szCs w:val="18"/>
                <w:lang w:val="en-GB"/>
              </w:rPr>
            </w:pPr>
            <w:r w:rsidRPr="00F24712">
              <w:rPr>
                <w:rFonts w:cs="Arial"/>
                <w:iCs/>
                <w:szCs w:val="18"/>
                <w:lang w:val="en-GB"/>
              </w:rPr>
              <w:t>e)</w:t>
            </w:r>
            <w:r w:rsidRPr="00F24712">
              <w:rPr>
                <w:rFonts w:cs="Arial"/>
                <w:iCs/>
                <w:szCs w:val="18"/>
                <w:lang w:val="en-GB"/>
              </w:rPr>
              <w:tab/>
            </w:r>
            <w:r w:rsidR="000D4468" w:rsidRPr="000D4468">
              <w:rPr>
                <w:rFonts w:cs="Arial"/>
                <w:iCs/>
                <w:szCs w:val="18"/>
                <w:lang w:val="en-GB"/>
              </w:rPr>
              <w:t>Development of tools for certification activities (e.g.: tools to support the development of PPs or STs, test benches, code review tools), including the possibility to register a patent and/or a user licence for it), under the conditions that:</w:t>
            </w:r>
          </w:p>
          <w:p w14:paraId="0E8CC42B" w14:textId="35641938" w:rsidR="000D4468" w:rsidRPr="006C2297" w:rsidRDefault="000D4468" w:rsidP="006C2297">
            <w:pPr>
              <w:pStyle w:val="Listenabsatz"/>
              <w:numPr>
                <w:ilvl w:val="0"/>
                <w:numId w:val="47"/>
              </w:numPr>
              <w:rPr>
                <w:rFonts w:cs="Arial"/>
                <w:iCs/>
                <w:szCs w:val="18"/>
                <w:lang w:val="en-GB"/>
              </w:rPr>
            </w:pPr>
            <w:r w:rsidRPr="006C2297">
              <w:rPr>
                <w:rFonts w:cs="Arial"/>
                <w:iCs/>
                <w:szCs w:val="18"/>
                <w:lang w:val="en-GB"/>
              </w:rPr>
              <w:t>The ITSEF shall establish an analysis before project launch in order to verify there is no impact on conformity assessment or on assessed parties which might be competitors;</w:t>
            </w:r>
          </w:p>
          <w:p w14:paraId="494E67C8" w14:textId="092A301E" w:rsidR="000D4468" w:rsidRPr="006C2297" w:rsidRDefault="000D4468" w:rsidP="006C2297">
            <w:pPr>
              <w:pStyle w:val="Listenabsatz"/>
              <w:numPr>
                <w:ilvl w:val="0"/>
                <w:numId w:val="47"/>
              </w:numPr>
              <w:rPr>
                <w:rFonts w:cs="Arial"/>
                <w:iCs/>
                <w:szCs w:val="18"/>
                <w:lang w:val="en-GB"/>
              </w:rPr>
            </w:pPr>
            <w:r w:rsidRPr="006C2297">
              <w:rPr>
                <w:rFonts w:cs="Arial"/>
                <w:iCs/>
                <w:szCs w:val="18"/>
                <w:lang w:val="en-GB"/>
              </w:rPr>
              <w:t>The activity shall relate to the complete sector, and shall neither be for the ITSEF nor for an individual industrial, and the ITSEF shall provide collective and transparent communication;</w:t>
            </w:r>
          </w:p>
          <w:p w14:paraId="5FF04C68" w14:textId="41840757" w:rsidR="000D4468" w:rsidRDefault="000D4468" w:rsidP="000D4468">
            <w:pPr>
              <w:pStyle w:val="Listenabsatz"/>
              <w:numPr>
                <w:ilvl w:val="0"/>
                <w:numId w:val="47"/>
              </w:numPr>
              <w:rPr>
                <w:rFonts w:cs="Arial"/>
                <w:iCs/>
                <w:szCs w:val="18"/>
                <w:lang w:val="en-GB"/>
              </w:rPr>
            </w:pPr>
            <w:r w:rsidRPr="006C2297">
              <w:rPr>
                <w:rFonts w:cs="Arial"/>
                <w:iCs/>
                <w:szCs w:val="18"/>
                <w:lang w:val="en-GB"/>
              </w:rPr>
              <w:t>There shall not be subsequent certification of a ICT product related to a patent;</w:t>
            </w:r>
          </w:p>
          <w:p w14:paraId="011A5AAB" w14:textId="5EB4C55A" w:rsidR="000D4468" w:rsidRPr="006C2297" w:rsidRDefault="000D4468" w:rsidP="006C2297">
            <w:pPr>
              <w:pStyle w:val="Listenabsatz"/>
              <w:numPr>
                <w:ilvl w:val="0"/>
                <w:numId w:val="47"/>
              </w:numPr>
              <w:rPr>
                <w:rFonts w:cs="Arial"/>
                <w:iCs/>
                <w:szCs w:val="18"/>
                <w:lang w:val="en-GB"/>
              </w:rPr>
            </w:pPr>
            <w:r w:rsidRPr="00E24819">
              <w:rPr>
                <w:rFonts w:cs="Arial"/>
                <w:iCs/>
                <w:szCs w:val="18"/>
                <w:lang w:val="en-GB"/>
              </w:rPr>
              <w:t>There shall not be any user licence resulting to collective certification.</w:t>
            </w:r>
          </w:p>
          <w:p w14:paraId="17856EFD" w14:textId="29FDD10E" w:rsidR="008C0A2E" w:rsidRPr="00F24712" w:rsidRDefault="008C0A2E" w:rsidP="006C2297">
            <w:pPr>
              <w:ind w:left="384" w:hanging="364"/>
              <w:rPr>
                <w:rFonts w:cs="Arial"/>
                <w:iCs/>
                <w:szCs w:val="18"/>
                <w:lang w:val="en-GB"/>
              </w:rPr>
            </w:pPr>
            <w:r w:rsidRPr="00F24712">
              <w:rPr>
                <w:rFonts w:cs="Arial"/>
                <w:iCs/>
                <w:szCs w:val="18"/>
                <w:lang w:val="en-GB"/>
              </w:rPr>
              <w:t>f)</w:t>
            </w:r>
            <w:r w:rsidRPr="00F24712">
              <w:rPr>
                <w:rFonts w:cs="Arial"/>
                <w:iCs/>
                <w:szCs w:val="18"/>
                <w:lang w:val="en-GB"/>
              </w:rPr>
              <w:tab/>
            </w:r>
            <w:r w:rsidR="000D4468" w:rsidRPr="000D4468">
              <w:rPr>
                <w:rFonts w:cs="Arial"/>
                <w:iCs/>
                <w:szCs w:val="18"/>
                <w:lang w:val="en-GB"/>
              </w:rPr>
              <w:t>Delivery of services that could be conformity assessment but out of the accreditation scope with regard to notification (e.g. Common Criteria assessment of a product outside EUCC certification process for national security purpose).</w:t>
            </w:r>
          </w:p>
          <w:p w14:paraId="24247951" w14:textId="77777777" w:rsidR="000D4468" w:rsidRPr="000D4468" w:rsidRDefault="008C0A2E" w:rsidP="000D4468">
            <w:pPr>
              <w:ind w:left="384" w:hanging="364"/>
              <w:rPr>
                <w:rFonts w:cs="Arial"/>
                <w:iCs/>
                <w:szCs w:val="18"/>
                <w:lang w:val="en-GB"/>
              </w:rPr>
            </w:pPr>
            <w:r w:rsidRPr="00F24712">
              <w:rPr>
                <w:rFonts w:cs="Arial"/>
                <w:iCs/>
                <w:szCs w:val="18"/>
                <w:lang w:val="en-GB"/>
              </w:rPr>
              <w:t>g)</w:t>
            </w:r>
            <w:r w:rsidRPr="00F24712">
              <w:rPr>
                <w:rFonts w:cs="Arial"/>
                <w:iCs/>
                <w:szCs w:val="18"/>
                <w:lang w:val="en-GB"/>
              </w:rPr>
              <w:tab/>
            </w:r>
            <w:r w:rsidR="000D4468" w:rsidRPr="000D4468">
              <w:rPr>
                <w:rFonts w:cs="Arial"/>
                <w:iCs/>
                <w:szCs w:val="18"/>
                <w:lang w:val="en-GB"/>
              </w:rPr>
              <w:t>Development of a test protocol (e.g.: development of a test bed to develop ITSEFs’ and/or CBs’ skills or to support and/or monitor their accreditation or authorisation), under the conditions that:</w:t>
            </w:r>
          </w:p>
          <w:p w14:paraId="264ED1AC" w14:textId="08F8E3DE" w:rsidR="000D4468" w:rsidRPr="006C2297" w:rsidRDefault="000D4468" w:rsidP="006C2297">
            <w:pPr>
              <w:pStyle w:val="Listenabsatz"/>
              <w:numPr>
                <w:ilvl w:val="0"/>
                <w:numId w:val="51"/>
              </w:numPr>
              <w:rPr>
                <w:rFonts w:cs="Arial"/>
                <w:iCs/>
                <w:szCs w:val="18"/>
                <w:lang w:val="en-GB"/>
              </w:rPr>
            </w:pPr>
            <w:r w:rsidRPr="006C2297">
              <w:rPr>
                <w:rFonts w:cs="Arial"/>
                <w:iCs/>
                <w:szCs w:val="18"/>
                <w:lang w:val="en-GB"/>
              </w:rPr>
              <w:t>The validation of the method shall satisfy the requirements of ISO/IEC 17025;</w:t>
            </w:r>
          </w:p>
          <w:p w14:paraId="38CE84A2" w14:textId="6D0E8952" w:rsidR="000D4468" w:rsidRPr="006C2297" w:rsidRDefault="000D4468" w:rsidP="006C2297">
            <w:pPr>
              <w:pStyle w:val="Listenabsatz"/>
              <w:numPr>
                <w:ilvl w:val="0"/>
                <w:numId w:val="51"/>
              </w:numPr>
              <w:rPr>
                <w:rFonts w:cs="Arial"/>
                <w:iCs/>
                <w:szCs w:val="18"/>
                <w:lang w:val="en-GB"/>
              </w:rPr>
            </w:pPr>
            <w:r w:rsidRPr="006C2297">
              <w:rPr>
                <w:rFonts w:cs="Arial"/>
                <w:iCs/>
                <w:szCs w:val="18"/>
                <w:lang w:val="en-GB"/>
              </w:rPr>
              <w:t>The ITSEF shall provide a generic test or inspection protocol, publicly available, or;</w:t>
            </w:r>
          </w:p>
          <w:p w14:paraId="74FF8EBD" w14:textId="0949BC56" w:rsidR="008C0A2E" w:rsidRPr="006C2297" w:rsidRDefault="000D4468" w:rsidP="006C2297">
            <w:pPr>
              <w:pStyle w:val="Listenabsatz"/>
              <w:numPr>
                <w:ilvl w:val="0"/>
                <w:numId w:val="51"/>
              </w:numPr>
              <w:rPr>
                <w:rFonts w:cs="Arial"/>
                <w:iCs/>
                <w:szCs w:val="18"/>
                <w:lang w:val="en-GB"/>
              </w:rPr>
            </w:pPr>
            <w:r w:rsidRPr="006C2297">
              <w:rPr>
                <w:rFonts w:cs="Arial"/>
                <w:iCs/>
                <w:szCs w:val="18"/>
                <w:lang w:val="en-GB"/>
              </w:rPr>
              <w:t>The ITSEF may only provide a specific test or inspection protocol that is non publicly available for the benefit of evaluation and certification activities outside of its scope of accreditation.</w:t>
            </w:r>
          </w:p>
          <w:p w14:paraId="67F15356" w14:textId="190C41A0" w:rsidR="008C0A2E" w:rsidRPr="00F24712" w:rsidRDefault="008C0A2E" w:rsidP="009E1426">
            <w:pPr>
              <w:rPr>
                <w:rFonts w:cs="Arial"/>
                <w:iCs/>
                <w:szCs w:val="18"/>
                <w:lang w:val="en-GB"/>
              </w:rPr>
            </w:pPr>
            <w:r w:rsidRPr="00F24712">
              <w:rPr>
                <w:rFonts w:cs="Arial"/>
                <w:iCs/>
                <w:szCs w:val="18"/>
                <w:lang w:val="en-GB"/>
              </w:rPr>
              <w:t>Where an activity is considered as acceptable with conditions, the ITSEF shall demonstrate the fulfillment of conditions and provide detailed proofs of this to the NAB.</w:t>
            </w:r>
          </w:p>
        </w:tc>
        <w:tc>
          <w:tcPr>
            <w:tcW w:w="1745" w:type="dxa"/>
            <w:shd w:val="clear" w:color="auto" w:fill="FFF2CC"/>
          </w:tcPr>
          <w:p w14:paraId="3016F04C" w14:textId="77777777" w:rsidR="00585805" w:rsidRPr="00BA5C85" w:rsidRDefault="00585805" w:rsidP="00585805">
            <w:pPr>
              <w:spacing w:before="0" w:after="0"/>
              <w:rPr>
                <w:rFonts w:cs="Arial"/>
                <w:iCs/>
                <w:noProof/>
                <w:sz w:val="18"/>
                <w:szCs w:val="18"/>
              </w:rPr>
            </w:pPr>
            <w:r w:rsidRPr="00BA5C85">
              <w:rPr>
                <w:rFonts w:cs="Arial"/>
                <w:iCs/>
                <w:noProof/>
                <w:sz w:val="18"/>
                <w:szCs w:val="18"/>
              </w:rPr>
              <w:lastRenderedPageBreak/>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7B0D5638"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9B18E8A"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3BB62910"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65217FD" w14:textId="77777777"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14:paraId="4CB7A264" w14:textId="77777777" w:rsidTr="009F7FD9">
        <w:tc>
          <w:tcPr>
            <w:tcW w:w="687" w:type="dxa"/>
          </w:tcPr>
          <w:p w14:paraId="107FB77A" w14:textId="3A7B88B4" w:rsidR="00585805" w:rsidRPr="00BA5C85" w:rsidRDefault="00E734D8" w:rsidP="00585805">
            <w:pPr>
              <w:spacing w:before="0" w:after="0"/>
              <w:rPr>
                <w:rFonts w:cs="Arial"/>
                <w:iCs/>
                <w:szCs w:val="18"/>
              </w:rPr>
            </w:pPr>
            <w:r>
              <w:rPr>
                <w:rFonts w:cs="Arial"/>
                <w:iCs/>
                <w:szCs w:val="18"/>
              </w:rPr>
              <w:t>6.2.</w:t>
            </w:r>
            <w:r w:rsidR="00705B51">
              <w:rPr>
                <w:rFonts w:cs="Arial"/>
                <w:iCs/>
                <w:szCs w:val="18"/>
              </w:rPr>
              <w:t>3</w:t>
            </w:r>
            <w:r>
              <w:rPr>
                <w:rFonts w:cs="Arial"/>
                <w:iCs/>
                <w:szCs w:val="18"/>
              </w:rPr>
              <w:t>.</w:t>
            </w:r>
          </w:p>
        </w:tc>
        <w:tc>
          <w:tcPr>
            <w:tcW w:w="5218" w:type="dxa"/>
          </w:tcPr>
          <w:p w14:paraId="0EAE7899" w14:textId="77777777" w:rsidR="00585805" w:rsidRPr="00F24712" w:rsidRDefault="00E734D8" w:rsidP="006A7627">
            <w:pPr>
              <w:tabs>
                <w:tab w:val="left" w:pos="669"/>
              </w:tabs>
              <w:rPr>
                <w:rFonts w:cs="Arial"/>
                <w:b/>
                <w:lang w:val="en-GB"/>
              </w:rPr>
            </w:pPr>
            <w:r w:rsidRPr="00F24712">
              <w:rPr>
                <w:rFonts w:cs="Arial"/>
                <w:b/>
                <w:lang w:val="en-GB"/>
              </w:rPr>
              <w:t>Confidentiality</w:t>
            </w:r>
          </w:p>
          <w:p w14:paraId="56553EAD" w14:textId="77777777" w:rsidR="006F2A96" w:rsidRPr="00F24712" w:rsidRDefault="006F2A96" w:rsidP="006A7627">
            <w:pPr>
              <w:tabs>
                <w:tab w:val="left" w:pos="669"/>
              </w:tabs>
              <w:rPr>
                <w:rFonts w:cs="Arial"/>
                <w:szCs w:val="18"/>
                <w:lang w:val="en-GB"/>
              </w:rPr>
            </w:pPr>
            <w:r w:rsidRPr="00F24712">
              <w:rPr>
                <w:rFonts w:cs="Arial"/>
                <w:szCs w:val="18"/>
                <w:lang w:val="en-GB"/>
              </w:rPr>
              <w:t>EUCC, “24.2 SECURITY OF INFORMATION”</w:t>
            </w:r>
            <w:r w:rsidR="009C317A" w:rsidRPr="00F24712">
              <w:rPr>
                <w:rFonts w:cs="Arial"/>
                <w:szCs w:val="18"/>
                <w:lang w:val="en-GB"/>
              </w:rPr>
              <w:br/>
            </w:r>
            <w:r w:rsidRPr="00F24712">
              <w:rPr>
                <w:rFonts w:cs="Arial"/>
                <w:szCs w:val="18"/>
                <w:lang w:val="en-GB"/>
              </w:rPr>
              <w:t>ISO/IEC 17025:2017, “4.2 Confidentiality”</w:t>
            </w:r>
            <w:r w:rsidR="009C317A" w:rsidRPr="00F24712">
              <w:rPr>
                <w:rFonts w:cs="Arial"/>
                <w:szCs w:val="18"/>
                <w:lang w:val="en-GB"/>
              </w:rPr>
              <w:br/>
            </w:r>
            <w:r w:rsidRPr="00F24712">
              <w:rPr>
                <w:rFonts w:cs="Arial"/>
                <w:szCs w:val="18"/>
                <w:lang w:val="en-GB"/>
              </w:rPr>
              <w:t>Additional requirement to ISO/IEC TS 23532-1:2021, 4.2.6</w:t>
            </w:r>
          </w:p>
          <w:p w14:paraId="1F525C6D" w14:textId="77777777" w:rsidR="009C317A" w:rsidRPr="00F24712" w:rsidRDefault="009C317A" w:rsidP="006A7627">
            <w:pPr>
              <w:tabs>
                <w:tab w:val="left" w:pos="669"/>
              </w:tabs>
              <w:spacing w:before="0" w:after="0"/>
              <w:rPr>
                <w:rFonts w:cs="Arial"/>
                <w:szCs w:val="18"/>
                <w:u w:val="single"/>
                <w:lang w:val="en-GB"/>
              </w:rPr>
            </w:pPr>
          </w:p>
          <w:p w14:paraId="35B07274" w14:textId="2A524EE1" w:rsidR="006F2A96" w:rsidRPr="00F24712" w:rsidRDefault="006F2A96" w:rsidP="006A7627">
            <w:pPr>
              <w:tabs>
                <w:tab w:val="left" w:pos="669"/>
              </w:tabs>
              <w:rPr>
                <w:rFonts w:cs="Arial"/>
                <w:szCs w:val="18"/>
                <w:lang w:val="en-GB"/>
              </w:rPr>
            </w:pPr>
            <w:r w:rsidRPr="00F24712">
              <w:rPr>
                <w:rFonts w:cs="Arial"/>
                <w:szCs w:val="18"/>
                <w:lang w:val="en-GB"/>
              </w:rPr>
              <w:lastRenderedPageBreak/>
              <w:t>The exclusions indicated by ISO/IEC TS 23532-1:2021 4.2.6 need to be noted and justified in the ETR to the responsible CB. If the responsible CB considers that access to this information is relevant to perform the certification decision, it can be a cause for rejecting the requested certificate.</w:t>
            </w:r>
          </w:p>
          <w:p w14:paraId="4D23901A" w14:textId="77777777" w:rsidR="006F2A96" w:rsidRPr="00F24712" w:rsidRDefault="006F2A96" w:rsidP="006A7627">
            <w:pPr>
              <w:tabs>
                <w:tab w:val="left" w:pos="669"/>
              </w:tabs>
              <w:rPr>
                <w:rFonts w:cs="Arial"/>
                <w:szCs w:val="18"/>
                <w:lang w:val="en-GB"/>
              </w:rPr>
            </w:pPr>
            <w:r w:rsidRPr="00F24712">
              <w:rPr>
                <w:rFonts w:cs="Arial"/>
                <w:szCs w:val="18"/>
                <w:lang w:val="en-GB"/>
              </w:rPr>
              <w:t>The ETR for composition needs to include all information necessary for the composition, it has to be technically relevant, while taking into account the confidentiality of sensitive information.</w:t>
            </w:r>
          </w:p>
          <w:p w14:paraId="685C059E" w14:textId="77777777" w:rsidR="006F2A96" w:rsidRPr="00F24712" w:rsidRDefault="006F2A96" w:rsidP="006A7627">
            <w:pPr>
              <w:tabs>
                <w:tab w:val="left" w:pos="669"/>
              </w:tabs>
              <w:rPr>
                <w:rFonts w:cs="Arial"/>
                <w:szCs w:val="18"/>
                <w:lang w:val="en-GB"/>
              </w:rPr>
            </w:pPr>
            <w:r w:rsidRPr="00F24712">
              <w:rPr>
                <w:rFonts w:cs="Arial"/>
                <w:szCs w:val="18"/>
                <w:lang w:val="en-GB"/>
              </w:rPr>
              <w:t>Additional requirement to ISO/IEC TS 23532-1:2021, 4.2.8</w:t>
            </w:r>
          </w:p>
          <w:p w14:paraId="2D5065E0" w14:textId="77777777" w:rsidR="006F2A96" w:rsidRPr="00F24712" w:rsidRDefault="006F2A96" w:rsidP="006A7627">
            <w:pPr>
              <w:tabs>
                <w:tab w:val="left" w:pos="669"/>
              </w:tabs>
              <w:rPr>
                <w:rFonts w:cs="Arial"/>
                <w:szCs w:val="18"/>
                <w:lang w:val="en-GB"/>
              </w:rPr>
            </w:pPr>
            <w:r w:rsidRPr="00F24712">
              <w:rPr>
                <w:rFonts w:cs="Arial"/>
                <w:szCs w:val="18"/>
                <w:lang w:val="en-GB"/>
              </w:rPr>
              <w:t>The scope of the policies, procedures and security manual to ensure the protection of proprietary information shall also cover and protect the following:</w:t>
            </w:r>
          </w:p>
          <w:p w14:paraId="0061164D" w14:textId="77777777" w:rsidR="006F2A96" w:rsidRPr="00F24712" w:rsidRDefault="006F2A96" w:rsidP="006A7627">
            <w:pPr>
              <w:pStyle w:val="Listenabsatz"/>
              <w:numPr>
                <w:ilvl w:val="0"/>
                <w:numId w:val="40"/>
              </w:numPr>
              <w:tabs>
                <w:tab w:val="left" w:pos="440"/>
              </w:tabs>
              <w:ind w:hanging="686"/>
              <w:rPr>
                <w:rFonts w:cs="Arial"/>
                <w:iCs/>
                <w:szCs w:val="18"/>
                <w:lang w:val="en-GB"/>
              </w:rPr>
            </w:pPr>
            <w:r w:rsidRPr="00F24712">
              <w:rPr>
                <w:rFonts w:cs="Arial"/>
                <w:iCs/>
                <w:szCs w:val="18"/>
                <w:lang w:val="en-GB"/>
              </w:rPr>
              <w:t>Handling of personal data, where applicable.</w:t>
            </w:r>
          </w:p>
          <w:p w14:paraId="27A125DF" w14:textId="77777777" w:rsidR="006F2A96" w:rsidRPr="00ED04E0" w:rsidRDefault="006F2A96" w:rsidP="006A7627">
            <w:pPr>
              <w:pStyle w:val="Listenabsatz"/>
              <w:numPr>
                <w:ilvl w:val="0"/>
                <w:numId w:val="40"/>
              </w:numPr>
              <w:tabs>
                <w:tab w:val="left" w:pos="440"/>
              </w:tabs>
              <w:ind w:hanging="686"/>
              <w:rPr>
                <w:rFonts w:cs="Arial"/>
                <w:iCs/>
                <w:szCs w:val="18"/>
              </w:rPr>
            </w:pPr>
            <w:r w:rsidRPr="00ED04E0">
              <w:rPr>
                <w:rFonts w:cs="Arial"/>
                <w:iCs/>
                <w:szCs w:val="18"/>
              </w:rPr>
              <w:t>Information necessary for</w:t>
            </w:r>
          </w:p>
          <w:p w14:paraId="6C36A1B2" w14:textId="77777777" w:rsidR="006F2A96" w:rsidRPr="00F24712" w:rsidRDefault="006F2A96" w:rsidP="006A7627">
            <w:pPr>
              <w:pStyle w:val="Listenabsatz"/>
              <w:numPr>
                <w:ilvl w:val="0"/>
                <w:numId w:val="39"/>
              </w:numPr>
              <w:tabs>
                <w:tab w:val="left" w:pos="815"/>
              </w:tabs>
              <w:ind w:hanging="255"/>
              <w:rPr>
                <w:rFonts w:cs="Arial"/>
                <w:szCs w:val="18"/>
                <w:lang w:val="en-GB"/>
              </w:rPr>
            </w:pPr>
            <w:r w:rsidRPr="00F24712">
              <w:rPr>
                <w:rFonts w:cs="Arial"/>
                <w:szCs w:val="18"/>
                <w:lang w:val="en-GB"/>
              </w:rPr>
              <w:t>the effective implementation of the EUCC scheme, in particular for the purpose of accreditation assessments,</w:t>
            </w:r>
          </w:p>
          <w:p w14:paraId="06E60F0C" w14:textId="77777777" w:rsidR="00F9403C" w:rsidRPr="00F24712" w:rsidRDefault="006F2A96" w:rsidP="006A7627">
            <w:pPr>
              <w:pStyle w:val="Listenabsatz"/>
              <w:numPr>
                <w:ilvl w:val="0"/>
                <w:numId w:val="39"/>
              </w:numPr>
              <w:tabs>
                <w:tab w:val="left" w:pos="815"/>
              </w:tabs>
              <w:ind w:hanging="255"/>
              <w:rPr>
                <w:rFonts w:cs="Arial"/>
                <w:szCs w:val="18"/>
                <w:lang w:val="en-GB"/>
              </w:rPr>
            </w:pPr>
            <w:r w:rsidRPr="00F24712">
              <w:rPr>
                <w:rFonts w:cs="Arial"/>
                <w:szCs w:val="18"/>
                <w:lang w:val="en-GB"/>
              </w:rPr>
              <w:t>effective collaboration between the involved authorities and bodies</w:t>
            </w:r>
            <w:r w:rsidR="00F9403C" w:rsidRPr="00F24712">
              <w:rPr>
                <w:rFonts w:cs="Arial"/>
                <w:szCs w:val="18"/>
                <w:lang w:val="en-GB"/>
              </w:rPr>
              <w:t>,</w:t>
            </w:r>
          </w:p>
          <w:p w14:paraId="42DBE9B2" w14:textId="77777777" w:rsidR="00F9403C" w:rsidRPr="00F24712" w:rsidRDefault="006F2A96" w:rsidP="006A7627">
            <w:pPr>
              <w:pStyle w:val="Listenabsatz"/>
              <w:numPr>
                <w:ilvl w:val="0"/>
                <w:numId w:val="39"/>
              </w:numPr>
              <w:tabs>
                <w:tab w:val="left" w:pos="815"/>
              </w:tabs>
              <w:ind w:hanging="255"/>
              <w:rPr>
                <w:rFonts w:cs="Arial"/>
                <w:szCs w:val="18"/>
                <w:lang w:val="en-GB"/>
              </w:rPr>
            </w:pPr>
            <w:r w:rsidRPr="00F24712">
              <w:rPr>
                <w:rFonts w:cs="Arial"/>
                <w:szCs w:val="18"/>
                <w:lang w:val="en-GB"/>
              </w:rPr>
              <w:t>the handling of publicly unknown and subsequently detected vulnerabilities in the TOE in the process of, or after certification, and</w:t>
            </w:r>
          </w:p>
          <w:p w14:paraId="09A11D32" w14:textId="77777777" w:rsidR="006F2A96" w:rsidRPr="00F9403C" w:rsidRDefault="006F2A96" w:rsidP="006A7627">
            <w:pPr>
              <w:pStyle w:val="Listenabsatz"/>
              <w:numPr>
                <w:ilvl w:val="0"/>
                <w:numId w:val="39"/>
              </w:numPr>
              <w:tabs>
                <w:tab w:val="left" w:pos="815"/>
              </w:tabs>
              <w:ind w:hanging="255"/>
              <w:rPr>
                <w:rFonts w:cs="Arial"/>
                <w:szCs w:val="18"/>
              </w:rPr>
            </w:pPr>
            <w:r w:rsidRPr="00F9403C">
              <w:rPr>
                <w:rFonts w:cs="Arial"/>
                <w:szCs w:val="18"/>
              </w:rPr>
              <w:t>the handling of complaints.</w:t>
            </w:r>
          </w:p>
          <w:p w14:paraId="04E9BE3E" w14:textId="77777777" w:rsidR="006F2A96" w:rsidRPr="00F24712" w:rsidRDefault="006F2A96" w:rsidP="006A7627">
            <w:pPr>
              <w:pStyle w:val="Listenabsatz"/>
              <w:numPr>
                <w:ilvl w:val="0"/>
                <w:numId w:val="40"/>
              </w:numPr>
              <w:tabs>
                <w:tab w:val="left" w:pos="440"/>
              </w:tabs>
              <w:ind w:left="387" w:hanging="353"/>
              <w:rPr>
                <w:rFonts w:cs="Arial"/>
                <w:iCs/>
                <w:szCs w:val="18"/>
                <w:lang w:val="en-GB"/>
              </w:rPr>
            </w:pPr>
            <w:r w:rsidRPr="00F24712">
              <w:rPr>
                <w:rFonts w:cs="Arial"/>
                <w:iCs/>
                <w:szCs w:val="18"/>
                <w:lang w:val="en-GB"/>
              </w:rPr>
              <w:t>The case of subcontracting, and in the situation where the ITSEF uses other facilities (e.g., third parties independent of both the ITSEF and the company(ies) developing and producing the TOE), appropriate security measures shall be applied to protect the vendor’s information and samples as well as the relevant the know-how and evaluation and testing approaches and their results of the ITSEF.</w:t>
            </w:r>
          </w:p>
          <w:p w14:paraId="1633F10C" w14:textId="77777777" w:rsidR="00ED04E0" w:rsidRPr="00F24712" w:rsidRDefault="006F2A96" w:rsidP="006A7627">
            <w:pPr>
              <w:pStyle w:val="Listenabsatz"/>
              <w:numPr>
                <w:ilvl w:val="0"/>
                <w:numId w:val="40"/>
              </w:numPr>
              <w:tabs>
                <w:tab w:val="left" w:pos="440"/>
              </w:tabs>
              <w:ind w:left="387" w:hanging="353"/>
              <w:rPr>
                <w:rFonts w:cs="Arial"/>
                <w:iCs/>
                <w:szCs w:val="18"/>
                <w:lang w:val="en-GB"/>
              </w:rPr>
            </w:pPr>
            <w:r w:rsidRPr="00F24712">
              <w:rPr>
                <w:rFonts w:cs="Arial"/>
                <w:iCs/>
                <w:szCs w:val="18"/>
                <w:lang w:val="en-GB"/>
              </w:rPr>
              <w:t>Protection under scenarios of unavailability or lack of accessibility of the ITSEF main location, remote evaluation activities, both from home-office of the evaluators, or from the manufacturer site.</w:t>
            </w:r>
          </w:p>
          <w:p w14:paraId="61B30664" w14:textId="77777777" w:rsidR="006F2A96" w:rsidRPr="00F24712" w:rsidRDefault="006F2A96" w:rsidP="006A7627">
            <w:pPr>
              <w:pStyle w:val="Listenabsatz"/>
              <w:numPr>
                <w:ilvl w:val="0"/>
                <w:numId w:val="40"/>
              </w:numPr>
              <w:tabs>
                <w:tab w:val="left" w:pos="440"/>
              </w:tabs>
              <w:ind w:left="387" w:hanging="353"/>
              <w:rPr>
                <w:rFonts w:cs="Arial"/>
                <w:iCs/>
                <w:szCs w:val="18"/>
                <w:lang w:val="en-GB"/>
              </w:rPr>
            </w:pPr>
            <w:r w:rsidRPr="00F24712">
              <w:rPr>
                <w:rFonts w:cs="Arial"/>
                <w:iCs/>
                <w:szCs w:val="18"/>
                <w:lang w:val="en-GB"/>
              </w:rPr>
              <w:t>The ITSEF should ensure that information that is required by a user or users (i.e. those accessing the evaluation information) for a short period, is retrievable when this period expires.</w:t>
            </w:r>
          </w:p>
          <w:p w14:paraId="2C090A8A" w14:textId="77777777" w:rsidR="006F2A96" w:rsidRPr="00F24712" w:rsidRDefault="006F2A96" w:rsidP="006A7627">
            <w:pPr>
              <w:pStyle w:val="Listenabsatz"/>
              <w:numPr>
                <w:ilvl w:val="0"/>
                <w:numId w:val="40"/>
              </w:numPr>
              <w:tabs>
                <w:tab w:val="left" w:pos="440"/>
              </w:tabs>
              <w:ind w:left="387" w:hanging="353"/>
              <w:rPr>
                <w:rFonts w:cs="Arial"/>
                <w:iCs/>
                <w:szCs w:val="18"/>
                <w:lang w:val="en-GB"/>
              </w:rPr>
            </w:pPr>
            <w:r w:rsidRPr="00F24712">
              <w:rPr>
                <w:rFonts w:cs="Arial"/>
                <w:iCs/>
                <w:szCs w:val="18"/>
                <w:lang w:val="en-GB"/>
              </w:rPr>
              <w:t>The ITSEF shall implement mechanisms that allow setting a fixed duration for users’ access to confidential information.</w:t>
            </w:r>
          </w:p>
          <w:p w14:paraId="71E60C4C" w14:textId="77777777" w:rsidR="006F2A96" w:rsidRPr="00F24712" w:rsidRDefault="006F2A96" w:rsidP="006A7627">
            <w:pPr>
              <w:pStyle w:val="Listenabsatz"/>
              <w:numPr>
                <w:ilvl w:val="0"/>
                <w:numId w:val="40"/>
              </w:numPr>
              <w:tabs>
                <w:tab w:val="left" w:pos="440"/>
              </w:tabs>
              <w:ind w:left="387" w:hanging="353"/>
              <w:rPr>
                <w:rFonts w:cs="Arial"/>
                <w:iCs/>
                <w:szCs w:val="18"/>
                <w:lang w:val="en-GB"/>
              </w:rPr>
            </w:pPr>
            <w:r w:rsidRPr="00F24712">
              <w:rPr>
                <w:rFonts w:cs="Arial"/>
                <w:iCs/>
                <w:szCs w:val="18"/>
                <w:lang w:val="en-GB"/>
              </w:rPr>
              <w:t xml:space="preserve">Confidential information that requires temporary access to be given to a set of users to perform a specific task such as assessments from NABs should not be permanently handed to the possession such temporary </w:t>
            </w:r>
            <w:r w:rsidRPr="00F24712">
              <w:rPr>
                <w:rFonts w:cs="Arial"/>
                <w:iCs/>
                <w:szCs w:val="18"/>
                <w:lang w:val="en-GB"/>
              </w:rPr>
              <w:lastRenderedPageBreak/>
              <w:t>users. They should only have access for the duration of the activity.</w:t>
            </w:r>
          </w:p>
          <w:p w14:paraId="2172BA58" w14:textId="77777777" w:rsidR="006F2A96" w:rsidRPr="00F24712" w:rsidRDefault="006F2A96" w:rsidP="006A7627">
            <w:pPr>
              <w:pStyle w:val="Listenabsatz"/>
              <w:numPr>
                <w:ilvl w:val="0"/>
                <w:numId w:val="40"/>
              </w:numPr>
              <w:tabs>
                <w:tab w:val="left" w:pos="440"/>
              </w:tabs>
              <w:ind w:left="387" w:hanging="353"/>
              <w:rPr>
                <w:rFonts w:cs="Arial"/>
                <w:iCs/>
                <w:szCs w:val="18"/>
                <w:lang w:val="en-GB"/>
              </w:rPr>
            </w:pPr>
            <w:r w:rsidRPr="00F24712">
              <w:rPr>
                <w:rFonts w:cs="Arial"/>
                <w:iCs/>
                <w:szCs w:val="18"/>
                <w:lang w:val="en-GB"/>
              </w:rPr>
              <w:t>Confidential information about an evaluation activity should be restricted to the ITSEF staff involved in the specific evaluation activity.</w:t>
            </w:r>
          </w:p>
          <w:p w14:paraId="496389D3" w14:textId="77777777" w:rsidR="006F2A96" w:rsidRPr="00F24712" w:rsidRDefault="006F2A96" w:rsidP="006A7627">
            <w:pPr>
              <w:tabs>
                <w:tab w:val="left" w:pos="669"/>
              </w:tabs>
              <w:rPr>
                <w:rFonts w:cs="Arial"/>
                <w:szCs w:val="18"/>
                <w:lang w:val="en-GB"/>
              </w:rPr>
            </w:pPr>
            <w:r w:rsidRPr="00F24712">
              <w:rPr>
                <w:rFonts w:cs="Arial"/>
                <w:szCs w:val="18"/>
                <w:lang w:val="en-GB"/>
              </w:rPr>
              <w:t>In particular, the policies, procedures and security manual to ensure the protection of proprietary information shall also cover and include the following measures:</w:t>
            </w:r>
          </w:p>
          <w:p w14:paraId="0AAB44EA" w14:textId="77777777" w:rsidR="006F2A96" w:rsidRPr="00F24712" w:rsidRDefault="006F2A96" w:rsidP="006A7627">
            <w:pPr>
              <w:pStyle w:val="Listenabsatz"/>
              <w:numPr>
                <w:ilvl w:val="0"/>
                <w:numId w:val="32"/>
              </w:numPr>
              <w:tabs>
                <w:tab w:val="left" w:pos="429"/>
              </w:tabs>
              <w:ind w:left="401" w:hanging="350"/>
              <w:rPr>
                <w:rFonts w:cs="Arial"/>
                <w:szCs w:val="18"/>
                <w:lang w:val="en-GB"/>
              </w:rPr>
            </w:pPr>
            <w:r w:rsidRPr="00F24712">
              <w:rPr>
                <w:rFonts w:cs="Arial"/>
                <w:szCs w:val="18"/>
                <w:lang w:val="en-GB"/>
              </w:rPr>
              <w:t>The information system shall include tools that provide encryption functionalities for non-public Information at rest. These tools should be referenced by an ENISA or a National guidance document.</w:t>
            </w:r>
            <w:r w:rsidR="005F213B" w:rsidRPr="00F24712">
              <w:rPr>
                <w:rFonts w:cs="Arial"/>
                <w:szCs w:val="18"/>
                <w:lang w:val="en-GB"/>
              </w:rPr>
              <w:t xml:space="preserve"> </w:t>
            </w:r>
            <w:r w:rsidRPr="00F24712">
              <w:rPr>
                <w:rFonts w:cs="Arial"/>
                <w:szCs w:val="18"/>
                <w:lang w:val="en-GB"/>
              </w:rPr>
              <w:t>Encryption tools that are deployed for security of information are expected to be in compliance with, by order of precedence:</w:t>
            </w:r>
          </w:p>
          <w:p w14:paraId="677F6FA4" w14:textId="77777777" w:rsidR="006F2A96" w:rsidRPr="00F24712" w:rsidRDefault="006F2A96" w:rsidP="006A7627">
            <w:pPr>
              <w:pStyle w:val="Listenabsatz"/>
              <w:numPr>
                <w:ilvl w:val="0"/>
                <w:numId w:val="30"/>
              </w:numPr>
              <w:tabs>
                <w:tab w:val="left" w:pos="669"/>
              </w:tabs>
              <w:rPr>
                <w:rFonts w:cs="Arial"/>
                <w:szCs w:val="18"/>
                <w:lang w:val="en-GB"/>
              </w:rPr>
            </w:pPr>
            <w:r w:rsidRPr="00F24712">
              <w:rPr>
                <w:rFonts w:cs="Arial"/>
                <w:szCs w:val="18"/>
                <w:lang w:val="en-GB"/>
              </w:rPr>
              <w:t>EU and national regulation regarding the protection of sensitive information,</w:t>
            </w:r>
          </w:p>
          <w:p w14:paraId="1EEACDFB" w14:textId="77777777" w:rsidR="00F9403C" w:rsidRPr="00F24712" w:rsidRDefault="006F2A96" w:rsidP="006A7627">
            <w:pPr>
              <w:pStyle w:val="Listenabsatz"/>
              <w:numPr>
                <w:ilvl w:val="0"/>
                <w:numId w:val="30"/>
              </w:numPr>
              <w:tabs>
                <w:tab w:val="left" w:pos="669"/>
              </w:tabs>
              <w:rPr>
                <w:rFonts w:cs="Arial"/>
                <w:szCs w:val="18"/>
                <w:lang w:val="en-GB"/>
              </w:rPr>
            </w:pPr>
            <w:r w:rsidRPr="00F24712">
              <w:rPr>
                <w:rFonts w:cs="Arial"/>
                <w:szCs w:val="18"/>
                <w:lang w:val="en-GB"/>
              </w:rPr>
              <w:t>recommendations, guidance and opinions from the competent cybersecurity authorities of the member state,</w:t>
            </w:r>
          </w:p>
          <w:p w14:paraId="30ECE323" w14:textId="77777777" w:rsidR="006F2A96" w:rsidRDefault="006F2A96" w:rsidP="006A7627">
            <w:pPr>
              <w:pStyle w:val="Listenabsatz"/>
              <w:numPr>
                <w:ilvl w:val="0"/>
                <w:numId w:val="30"/>
              </w:numPr>
              <w:tabs>
                <w:tab w:val="left" w:pos="669"/>
              </w:tabs>
              <w:rPr>
                <w:rFonts w:cs="Arial"/>
                <w:szCs w:val="18"/>
              </w:rPr>
            </w:pPr>
            <w:r w:rsidRPr="00F9403C">
              <w:rPr>
                <w:rFonts w:cs="Arial"/>
                <w:szCs w:val="18"/>
              </w:rPr>
              <w:t>recommendations from the ECCG.</w:t>
            </w:r>
          </w:p>
          <w:p w14:paraId="0AD27E19" w14:textId="77777777" w:rsidR="006F2A96" w:rsidRPr="00F24712" w:rsidRDefault="006F2A96" w:rsidP="006A7627">
            <w:pPr>
              <w:pStyle w:val="Listenabsatz"/>
              <w:numPr>
                <w:ilvl w:val="0"/>
                <w:numId w:val="32"/>
              </w:numPr>
              <w:tabs>
                <w:tab w:val="left" w:pos="415"/>
              </w:tabs>
              <w:ind w:left="401" w:hanging="336"/>
              <w:rPr>
                <w:rFonts w:cs="Arial"/>
                <w:szCs w:val="18"/>
                <w:lang w:val="en-GB"/>
              </w:rPr>
            </w:pPr>
            <w:r w:rsidRPr="00F24712">
              <w:rPr>
                <w:rFonts w:cs="Arial"/>
                <w:szCs w:val="18"/>
                <w:lang w:val="en-GB"/>
              </w:rPr>
              <w:t>Secure electronic storage and communication must be achieved for non-public Information through accepted and recognised cryptographic methods and algorithms. The ITSEF shall refer to and comply with ENISA or National cryptography guidelines for further guidance.</w:t>
            </w:r>
          </w:p>
          <w:p w14:paraId="483C4A64" w14:textId="77777777" w:rsidR="005F213B" w:rsidRPr="00F24712" w:rsidRDefault="006F2A96" w:rsidP="006A7627">
            <w:pPr>
              <w:pStyle w:val="Listenabsatz"/>
              <w:numPr>
                <w:ilvl w:val="0"/>
                <w:numId w:val="32"/>
              </w:numPr>
              <w:tabs>
                <w:tab w:val="left" w:pos="429"/>
              </w:tabs>
              <w:ind w:left="415" w:hanging="322"/>
              <w:rPr>
                <w:rFonts w:cs="Arial"/>
                <w:szCs w:val="18"/>
                <w:lang w:val="en-GB"/>
              </w:rPr>
            </w:pPr>
            <w:r w:rsidRPr="00F24712">
              <w:rPr>
                <w:rFonts w:cs="Arial"/>
                <w:szCs w:val="18"/>
                <w:lang w:val="en-GB"/>
              </w:rPr>
              <w:t>ITSEF staff shall be trained on information handling and sign agreements of compliance with information security obligations to maintain data secrecy. The ITSEF shall keep these agreements as per Retention of records.</w:t>
            </w:r>
            <w:r w:rsidR="005F213B" w:rsidRPr="00F24712">
              <w:rPr>
                <w:rFonts w:cs="Arial"/>
                <w:szCs w:val="18"/>
                <w:lang w:val="en-GB"/>
              </w:rPr>
              <w:t xml:space="preserve"> </w:t>
            </w:r>
          </w:p>
          <w:p w14:paraId="4BFEB8D7" w14:textId="77777777" w:rsidR="005F213B" w:rsidRPr="00F24712" w:rsidRDefault="006F2A96" w:rsidP="006A7627">
            <w:pPr>
              <w:pStyle w:val="Listenabsatz"/>
              <w:tabs>
                <w:tab w:val="left" w:pos="669"/>
              </w:tabs>
              <w:ind w:left="415"/>
              <w:rPr>
                <w:rFonts w:cs="Arial"/>
                <w:szCs w:val="18"/>
                <w:lang w:val="en-GB"/>
              </w:rPr>
            </w:pPr>
            <w:r w:rsidRPr="00F24712">
              <w:rPr>
                <w:rFonts w:cs="Arial"/>
                <w:szCs w:val="18"/>
                <w:lang w:val="en-GB"/>
              </w:rPr>
              <w:t>Every staff member shall sign an NDA before he/she is</w:t>
            </w:r>
            <w:r w:rsidR="00F9403C" w:rsidRPr="00F24712">
              <w:rPr>
                <w:rFonts w:cs="Arial"/>
                <w:szCs w:val="18"/>
                <w:lang w:val="en-GB"/>
              </w:rPr>
              <w:t xml:space="preserve"> </w:t>
            </w:r>
            <w:r w:rsidRPr="00F24712">
              <w:rPr>
                <w:rFonts w:cs="Arial"/>
                <w:szCs w:val="18"/>
                <w:lang w:val="en-GB"/>
              </w:rPr>
              <w:t>granted access to non-public information. In governmental organizations where there are binding legal regulations on information secrecy, these rules shall be leading, unless they interfere with EU law. The ITSEF shall maintain a updated information security workshop schedule for staff involved in the EUCC scheme process. The workshop shall be performed on a regular basis and include updates on relevant regulatory changes.</w:t>
            </w:r>
          </w:p>
          <w:p w14:paraId="0605FA22" w14:textId="77777777" w:rsidR="006F2A96" w:rsidRPr="00F24712" w:rsidRDefault="006F2A96" w:rsidP="006A7627">
            <w:pPr>
              <w:pStyle w:val="Listenabsatz"/>
              <w:tabs>
                <w:tab w:val="left" w:pos="669"/>
              </w:tabs>
              <w:ind w:left="415"/>
              <w:rPr>
                <w:rFonts w:cs="Arial"/>
                <w:sz w:val="18"/>
                <w:szCs w:val="18"/>
                <w:lang w:val="en-GB"/>
              </w:rPr>
            </w:pPr>
            <w:r w:rsidRPr="00F24712">
              <w:rPr>
                <w:rFonts w:cs="Arial"/>
                <w:szCs w:val="18"/>
                <w:lang w:val="en-GB"/>
              </w:rPr>
              <w:t xml:space="preserve">Evaluation contracts between ITSEFs and their customers shall identify which parties will have access to the evaluation evidence and findings that are part of the certification process and that have for the purpose of certification and certification maintenance of the ICT product and compliance, a need-to-know right, subject to accreditation assessments and/or other scheme defined processes and procedures. The CB, the NAB where necessary for the purpose of accreditation, and the NCCA where necessary for the purpose of it’s monitoring and </w:t>
            </w:r>
            <w:r w:rsidRPr="00F24712">
              <w:rPr>
                <w:rFonts w:cs="Arial"/>
                <w:szCs w:val="18"/>
                <w:lang w:val="en-GB"/>
              </w:rPr>
              <w:lastRenderedPageBreak/>
              <w:t>supervision tasks, shall be informed about these contract obligations.</w:t>
            </w:r>
          </w:p>
        </w:tc>
        <w:tc>
          <w:tcPr>
            <w:tcW w:w="1745" w:type="dxa"/>
            <w:shd w:val="clear" w:color="auto" w:fill="FFF2CC"/>
          </w:tcPr>
          <w:p w14:paraId="2E599EA7" w14:textId="77777777" w:rsidR="00585805" w:rsidRPr="00BA5C85" w:rsidRDefault="00585805" w:rsidP="00585805">
            <w:pPr>
              <w:spacing w:before="0" w:after="0"/>
              <w:rPr>
                <w:rFonts w:cs="Arial"/>
                <w:iCs/>
                <w:noProof/>
                <w:sz w:val="18"/>
                <w:szCs w:val="18"/>
              </w:rPr>
            </w:pPr>
            <w:r w:rsidRPr="00BA5C85">
              <w:rPr>
                <w:rFonts w:cs="Arial"/>
                <w:iCs/>
                <w:noProof/>
                <w:sz w:val="18"/>
                <w:szCs w:val="18"/>
              </w:rPr>
              <w:lastRenderedPageBreak/>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3F283E44"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05E98921"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6B3E62F8"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367B5D6" w14:textId="77777777"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14:paraId="545A5FEE" w14:textId="77777777" w:rsidTr="009F7FD9">
        <w:tc>
          <w:tcPr>
            <w:tcW w:w="687" w:type="dxa"/>
          </w:tcPr>
          <w:p w14:paraId="3BDDB364" w14:textId="30383F21" w:rsidR="00585805" w:rsidRPr="00BA5C85" w:rsidRDefault="00E734D8" w:rsidP="00585805">
            <w:pPr>
              <w:spacing w:before="0" w:after="0"/>
              <w:rPr>
                <w:rFonts w:cs="Arial"/>
                <w:iCs/>
                <w:szCs w:val="18"/>
              </w:rPr>
            </w:pPr>
            <w:r>
              <w:rPr>
                <w:rFonts w:cs="Arial"/>
                <w:iCs/>
                <w:szCs w:val="18"/>
              </w:rPr>
              <w:lastRenderedPageBreak/>
              <w:t>6.2.</w:t>
            </w:r>
            <w:r w:rsidR="00705B51">
              <w:rPr>
                <w:rFonts w:cs="Arial"/>
                <w:iCs/>
                <w:szCs w:val="18"/>
              </w:rPr>
              <w:t>4</w:t>
            </w:r>
          </w:p>
        </w:tc>
        <w:tc>
          <w:tcPr>
            <w:tcW w:w="5218" w:type="dxa"/>
          </w:tcPr>
          <w:p w14:paraId="4337CDBB" w14:textId="77777777" w:rsidR="00585805" w:rsidRPr="00F24712" w:rsidRDefault="00E734D8" w:rsidP="006A7627">
            <w:pPr>
              <w:spacing w:before="0" w:after="0"/>
              <w:rPr>
                <w:rFonts w:cs="Arial"/>
                <w:b/>
                <w:iCs/>
                <w:szCs w:val="18"/>
                <w:lang w:val="en-GB"/>
              </w:rPr>
            </w:pPr>
            <w:r w:rsidRPr="00F24712">
              <w:rPr>
                <w:rFonts w:cs="Arial"/>
                <w:b/>
                <w:iCs/>
                <w:szCs w:val="18"/>
                <w:lang w:val="en-GB"/>
              </w:rPr>
              <w:t>Competence</w:t>
            </w:r>
          </w:p>
          <w:p w14:paraId="4EDC66EF" w14:textId="77777777" w:rsidR="0028051C" w:rsidRPr="00F24712" w:rsidRDefault="0028051C" w:rsidP="006A7627">
            <w:pPr>
              <w:rPr>
                <w:rFonts w:cs="Arial"/>
                <w:iCs/>
                <w:szCs w:val="18"/>
                <w:lang w:val="en-GB"/>
              </w:rPr>
            </w:pPr>
            <w:r w:rsidRPr="00F24712">
              <w:rPr>
                <w:rFonts w:cs="Arial"/>
                <w:iCs/>
                <w:szCs w:val="18"/>
                <w:lang w:val="en-GB"/>
              </w:rPr>
              <w:t>The ITSEF, their evaluators and, if applicable, the relevant staff of their subcontracted partiess shall be required to have the necessary expertise and experience in performing the specific testing activities to determine the product’s resistance against specific attacks (penetration testing).</w:t>
            </w:r>
          </w:p>
          <w:p w14:paraId="7865BD28" w14:textId="77777777" w:rsidR="0028051C" w:rsidRPr="00F24712" w:rsidRDefault="0028051C" w:rsidP="006A7627">
            <w:pPr>
              <w:rPr>
                <w:rFonts w:cs="Arial"/>
                <w:iCs/>
                <w:szCs w:val="18"/>
                <w:lang w:val="en-GB"/>
              </w:rPr>
            </w:pPr>
            <w:r w:rsidRPr="00F24712">
              <w:rPr>
                <w:rFonts w:cs="Arial"/>
                <w:iCs/>
                <w:szCs w:val="18"/>
                <w:lang w:val="en-GB"/>
              </w:rPr>
              <w:t>The ITSEF shall define and operate a competence management system for the evaluators where:</w:t>
            </w:r>
          </w:p>
          <w:p w14:paraId="72169BAB" w14:textId="77777777" w:rsidR="005F213B" w:rsidRDefault="0028051C" w:rsidP="009E1426">
            <w:pPr>
              <w:pStyle w:val="Listenabsatz"/>
              <w:numPr>
                <w:ilvl w:val="0"/>
                <w:numId w:val="30"/>
              </w:numPr>
              <w:ind w:left="243" w:hanging="243"/>
              <w:rPr>
                <w:rFonts w:cs="Arial"/>
                <w:iCs/>
                <w:szCs w:val="18"/>
              </w:rPr>
            </w:pPr>
            <w:r w:rsidRPr="00F24712">
              <w:rPr>
                <w:rFonts w:cs="Arial"/>
                <w:iCs/>
                <w:szCs w:val="18"/>
                <w:lang w:val="en-GB"/>
              </w:rPr>
              <w:t xml:space="preserve">The elements of competence, competency levels and the measurement of the elements of competence are drawn from ISO/IEC 19896-1:2018, and if they differ, they shall be commensurate with the objectives that are defined and at least be equivalent to the elements defined by ISO/IEC 19896-1:2018. </w:t>
            </w:r>
            <w:r w:rsidRPr="005F213B">
              <w:rPr>
                <w:rFonts w:cs="Arial"/>
                <w:iCs/>
                <w:szCs w:val="18"/>
              </w:rPr>
              <w:t>The ITSEF needs to demonstrate this.</w:t>
            </w:r>
          </w:p>
          <w:p w14:paraId="685EDDF0" w14:textId="77777777" w:rsidR="005F213B" w:rsidRDefault="0028051C" w:rsidP="009E1426">
            <w:pPr>
              <w:pStyle w:val="Listenabsatz"/>
              <w:numPr>
                <w:ilvl w:val="0"/>
                <w:numId w:val="30"/>
              </w:numPr>
              <w:ind w:left="243" w:hanging="243"/>
              <w:rPr>
                <w:rFonts w:cs="Arial"/>
                <w:iCs/>
                <w:szCs w:val="18"/>
              </w:rPr>
            </w:pPr>
            <w:r w:rsidRPr="00F24712">
              <w:rPr>
                <w:rFonts w:cs="Arial"/>
                <w:iCs/>
                <w:szCs w:val="18"/>
                <w:lang w:val="en-GB"/>
              </w:rPr>
              <w:t xml:space="preserve">The knowledge, skills, experience and education, and the applicable requirements for the evaluators are drawn from ISO/IEC 19896-3:2018, and if they differ, they shall be commensurate with the objectives and be at least equivalent to the requirements defined by ISO/IEC 19896-3:2018. </w:t>
            </w:r>
            <w:r w:rsidRPr="005F213B">
              <w:rPr>
                <w:rFonts w:cs="Arial"/>
                <w:iCs/>
                <w:szCs w:val="18"/>
              </w:rPr>
              <w:t>The ITSEF needs to demonstrate this.</w:t>
            </w:r>
          </w:p>
          <w:p w14:paraId="1A7532E8" w14:textId="77777777" w:rsidR="005F213B" w:rsidRPr="00F24712" w:rsidRDefault="0028051C" w:rsidP="009E1426">
            <w:pPr>
              <w:pStyle w:val="Listenabsatz"/>
              <w:numPr>
                <w:ilvl w:val="0"/>
                <w:numId w:val="30"/>
              </w:numPr>
              <w:ind w:left="243" w:hanging="243"/>
              <w:rPr>
                <w:rFonts w:cs="Arial"/>
                <w:iCs/>
                <w:szCs w:val="18"/>
                <w:lang w:val="en-GB"/>
              </w:rPr>
            </w:pPr>
            <w:r w:rsidRPr="00F24712">
              <w:rPr>
                <w:rFonts w:cs="Arial"/>
                <w:iCs/>
                <w:szCs w:val="18"/>
                <w:lang w:val="en-GB"/>
              </w:rPr>
              <w:t>The knowledge required for evaluating security assurance requirement classes is specified based on Annex B of ISO/IEC 19896-3:2018.</w:t>
            </w:r>
          </w:p>
          <w:p w14:paraId="1D2EA548" w14:textId="77777777" w:rsidR="005F213B" w:rsidRPr="00F24712" w:rsidRDefault="0028051C" w:rsidP="009E1426">
            <w:pPr>
              <w:pStyle w:val="Listenabsatz"/>
              <w:numPr>
                <w:ilvl w:val="0"/>
                <w:numId w:val="30"/>
              </w:numPr>
              <w:ind w:left="243" w:hanging="243"/>
              <w:rPr>
                <w:rFonts w:cs="Arial"/>
                <w:iCs/>
                <w:szCs w:val="18"/>
                <w:lang w:val="en-GB"/>
              </w:rPr>
            </w:pPr>
            <w:r w:rsidRPr="00F24712">
              <w:rPr>
                <w:rFonts w:cs="Arial"/>
                <w:iCs/>
                <w:szCs w:val="18"/>
                <w:lang w:val="en-GB"/>
              </w:rPr>
              <w:t>The knowledge required for evaluating security functional requirement classes is specified based on Annex C of ISO/IEC 19896-3:2018.</w:t>
            </w:r>
          </w:p>
          <w:p w14:paraId="21877B13" w14:textId="77777777" w:rsidR="0028051C" w:rsidRPr="00F24712" w:rsidRDefault="0028051C" w:rsidP="009E1426">
            <w:pPr>
              <w:pStyle w:val="Listenabsatz"/>
              <w:numPr>
                <w:ilvl w:val="0"/>
                <w:numId w:val="30"/>
              </w:numPr>
              <w:ind w:left="243" w:hanging="243"/>
              <w:rPr>
                <w:rFonts w:cs="Arial"/>
                <w:iCs/>
                <w:szCs w:val="18"/>
                <w:lang w:val="en-GB"/>
              </w:rPr>
            </w:pPr>
            <w:r w:rsidRPr="00F24712">
              <w:rPr>
                <w:rFonts w:cs="Arial"/>
                <w:iCs/>
                <w:szCs w:val="18"/>
                <w:lang w:val="en-GB"/>
              </w:rPr>
              <w:t>The knowledge required for evaluating specific technologies and exercising different evaluation technique types are to be specified by the ITSEF using the classification provided in Annex</w:t>
            </w:r>
            <w:r w:rsidR="005F213B" w:rsidRPr="00F24712">
              <w:rPr>
                <w:rFonts w:cs="Arial"/>
                <w:iCs/>
                <w:szCs w:val="18"/>
                <w:lang w:val="en-GB"/>
              </w:rPr>
              <w:t xml:space="preserve"> (SoA ITSEF)</w:t>
            </w:r>
            <w:r w:rsidRPr="00F24712">
              <w:rPr>
                <w:rFonts w:cs="Arial"/>
                <w:iCs/>
                <w:szCs w:val="18"/>
                <w:lang w:val="en-GB"/>
              </w:rPr>
              <w:t>.</w:t>
            </w:r>
          </w:p>
          <w:p w14:paraId="6589390E" w14:textId="77777777" w:rsidR="0028051C" w:rsidRPr="00F24712" w:rsidRDefault="0028051C" w:rsidP="006A7627">
            <w:pPr>
              <w:rPr>
                <w:rFonts w:cs="Arial"/>
                <w:iCs/>
                <w:szCs w:val="18"/>
                <w:lang w:val="en-GB"/>
              </w:rPr>
            </w:pPr>
            <w:r w:rsidRPr="00F24712">
              <w:rPr>
                <w:rFonts w:cs="Arial"/>
                <w:iCs/>
                <w:szCs w:val="18"/>
                <w:lang w:val="en-GB"/>
              </w:rPr>
              <w:t>The ITSEF may use other classification criteria, as long as</w:t>
            </w:r>
            <w:r w:rsidR="005F213B" w:rsidRPr="00F24712">
              <w:rPr>
                <w:rFonts w:cs="Arial"/>
                <w:iCs/>
                <w:szCs w:val="18"/>
                <w:lang w:val="en-GB"/>
              </w:rPr>
              <w:t xml:space="preserve"> </w:t>
            </w:r>
            <w:r w:rsidRPr="00F24712">
              <w:rPr>
                <w:rFonts w:cs="Arial"/>
                <w:iCs/>
                <w:szCs w:val="18"/>
                <w:lang w:val="en-GB"/>
              </w:rPr>
              <w:t>it can be mapped to the one provided in Annex. Such</w:t>
            </w:r>
            <w:r w:rsidR="005F213B" w:rsidRPr="00F24712">
              <w:rPr>
                <w:rFonts w:cs="Arial"/>
                <w:iCs/>
                <w:szCs w:val="18"/>
                <w:lang w:val="en-GB"/>
              </w:rPr>
              <w:t xml:space="preserve"> </w:t>
            </w:r>
            <w:r w:rsidRPr="00F24712">
              <w:rPr>
                <w:rFonts w:cs="Arial"/>
                <w:iCs/>
                <w:szCs w:val="18"/>
                <w:lang w:val="en-GB"/>
              </w:rPr>
              <w:t>mapping, and the supporting rationale, shall be made available to the CB the ITSEF is subcontracted with, the NABs and NCCA.</w:t>
            </w:r>
          </w:p>
        </w:tc>
        <w:tc>
          <w:tcPr>
            <w:tcW w:w="1745" w:type="dxa"/>
            <w:shd w:val="clear" w:color="auto" w:fill="FFF2CC"/>
          </w:tcPr>
          <w:p w14:paraId="5C5EADEB" w14:textId="77777777"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3742F66D"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EF47636"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367BB74" w14:textId="77777777"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D8F0FB4" w14:textId="77777777"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0C285B25" w14:textId="77777777" w:rsidTr="009F7FD9">
        <w:tc>
          <w:tcPr>
            <w:tcW w:w="687" w:type="dxa"/>
          </w:tcPr>
          <w:p w14:paraId="2A1F0AC0" w14:textId="78DA9161" w:rsidR="0028051C" w:rsidRPr="00BA5C85" w:rsidRDefault="0028051C" w:rsidP="0028051C">
            <w:pPr>
              <w:spacing w:before="0" w:after="0"/>
              <w:rPr>
                <w:rFonts w:cs="Arial"/>
                <w:iCs/>
                <w:szCs w:val="18"/>
              </w:rPr>
            </w:pPr>
            <w:r>
              <w:rPr>
                <w:rFonts w:cs="Arial"/>
                <w:iCs/>
                <w:szCs w:val="18"/>
              </w:rPr>
              <w:t>6.2.</w:t>
            </w:r>
            <w:r w:rsidR="00705B51">
              <w:rPr>
                <w:rFonts w:cs="Arial"/>
                <w:iCs/>
                <w:szCs w:val="18"/>
              </w:rPr>
              <w:t>5</w:t>
            </w:r>
          </w:p>
        </w:tc>
        <w:tc>
          <w:tcPr>
            <w:tcW w:w="5218" w:type="dxa"/>
          </w:tcPr>
          <w:p w14:paraId="03EC20B3" w14:textId="77777777" w:rsidR="0028051C" w:rsidRPr="00F24712" w:rsidRDefault="0028051C" w:rsidP="0028051C">
            <w:pPr>
              <w:spacing w:before="0" w:after="0"/>
              <w:rPr>
                <w:rFonts w:cs="Arial"/>
                <w:b/>
                <w:iCs/>
                <w:szCs w:val="18"/>
                <w:lang w:val="en-GB"/>
              </w:rPr>
            </w:pPr>
            <w:r w:rsidRPr="00F24712">
              <w:rPr>
                <w:rFonts w:cs="Arial"/>
                <w:b/>
                <w:iCs/>
                <w:szCs w:val="18"/>
                <w:lang w:val="en-GB"/>
              </w:rPr>
              <w:t>Facilities</w:t>
            </w:r>
          </w:p>
          <w:p w14:paraId="14AF284E" w14:textId="77777777" w:rsidR="0028051C" w:rsidRPr="00F24712" w:rsidRDefault="0028051C" w:rsidP="0028051C">
            <w:pPr>
              <w:spacing w:before="0" w:after="0"/>
              <w:rPr>
                <w:rFonts w:cs="Arial"/>
                <w:iCs/>
                <w:szCs w:val="18"/>
                <w:lang w:val="en-GB"/>
              </w:rPr>
            </w:pPr>
            <w:r w:rsidRPr="00F24712">
              <w:rPr>
                <w:rFonts w:cs="Arial"/>
                <w:iCs/>
                <w:szCs w:val="18"/>
                <w:lang w:val="en-GB"/>
              </w:rPr>
              <w:t>Additional requirement to ISO/IEC TS 23532-1:2021, 6.3.1.1</w:t>
            </w:r>
          </w:p>
          <w:p w14:paraId="1EA9F16F" w14:textId="77777777" w:rsidR="0028051C" w:rsidRPr="00F24712" w:rsidRDefault="0028051C" w:rsidP="0028051C">
            <w:pPr>
              <w:spacing w:before="0" w:after="0"/>
              <w:rPr>
                <w:rFonts w:cs="Arial"/>
                <w:iCs/>
                <w:szCs w:val="18"/>
                <w:lang w:val="en-GB"/>
              </w:rPr>
            </w:pPr>
            <w:r w:rsidRPr="00F24712">
              <w:rPr>
                <w:rFonts w:cs="Arial"/>
                <w:iCs/>
                <w:szCs w:val="18"/>
                <w:lang w:val="en-GB"/>
              </w:rPr>
              <w:t>Network isolation must ensure the integrity of the test results and their confidentiality.</w:t>
            </w:r>
          </w:p>
        </w:tc>
        <w:tc>
          <w:tcPr>
            <w:tcW w:w="1745" w:type="dxa"/>
            <w:shd w:val="clear" w:color="auto" w:fill="FFF2CC"/>
          </w:tcPr>
          <w:p w14:paraId="789FF288" w14:textId="77777777" w:rsidR="0028051C" w:rsidRPr="00BA5C85" w:rsidRDefault="0028051C" w:rsidP="0028051C">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2B2848FD"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384D5DF"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5A0D9C2F"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72D9E8D"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7108CF90" w14:textId="77777777" w:rsidTr="009F7FD9">
        <w:tc>
          <w:tcPr>
            <w:tcW w:w="687" w:type="dxa"/>
          </w:tcPr>
          <w:p w14:paraId="033D5EB5" w14:textId="74081F82" w:rsidR="0028051C" w:rsidRPr="00BA5C85" w:rsidRDefault="0028051C" w:rsidP="0028051C">
            <w:pPr>
              <w:spacing w:before="0" w:after="0"/>
              <w:rPr>
                <w:rFonts w:cs="Arial"/>
                <w:iCs/>
                <w:szCs w:val="18"/>
              </w:rPr>
            </w:pPr>
            <w:r>
              <w:rPr>
                <w:rFonts w:cs="Arial"/>
                <w:iCs/>
                <w:szCs w:val="18"/>
              </w:rPr>
              <w:t>6.2.</w:t>
            </w:r>
            <w:r w:rsidR="00705B51">
              <w:rPr>
                <w:rFonts w:cs="Arial"/>
                <w:iCs/>
                <w:szCs w:val="18"/>
              </w:rPr>
              <w:t>6</w:t>
            </w:r>
          </w:p>
        </w:tc>
        <w:tc>
          <w:tcPr>
            <w:tcW w:w="5218" w:type="dxa"/>
          </w:tcPr>
          <w:p w14:paraId="6466E512" w14:textId="77777777" w:rsidR="0028051C" w:rsidRPr="00F24712" w:rsidRDefault="0028051C" w:rsidP="0028051C">
            <w:pPr>
              <w:spacing w:before="0" w:after="0"/>
              <w:rPr>
                <w:rFonts w:cs="Arial"/>
                <w:b/>
                <w:iCs/>
                <w:szCs w:val="18"/>
                <w:lang w:val="en-GB"/>
              </w:rPr>
            </w:pPr>
            <w:r w:rsidRPr="00F24712">
              <w:rPr>
                <w:rFonts w:cs="Arial"/>
                <w:b/>
                <w:iCs/>
                <w:szCs w:val="18"/>
                <w:lang w:val="en-GB"/>
              </w:rPr>
              <w:t>Subcontracting</w:t>
            </w:r>
          </w:p>
          <w:p w14:paraId="5A6EE0E5" w14:textId="77777777" w:rsidR="00466EA5" w:rsidRPr="00F24712" w:rsidRDefault="00466EA5" w:rsidP="00466EA5">
            <w:pPr>
              <w:spacing w:before="0" w:after="0"/>
              <w:rPr>
                <w:rFonts w:cs="Arial"/>
                <w:iCs/>
                <w:szCs w:val="18"/>
                <w:lang w:val="en-GB"/>
              </w:rPr>
            </w:pPr>
            <w:r w:rsidRPr="00F24712">
              <w:rPr>
                <w:rFonts w:cs="Arial"/>
                <w:iCs/>
                <w:szCs w:val="18"/>
                <w:lang w:val="en-GB"/>
              </w:rPr>
              <w:t>EUCC, “7. NOTIFICATION AND AUTHORISATION OF CABS, FUNCTIONING OF CABS AND SUBCONTRACTORS”</w:t>
            </w:r>
          </w:p>
          <w:p w14:paraId="6AB69D9C" w14:textId="77777777" w:rsidR="00466EA5" w:rsidRPr="00F24712" w:rsidRDefault="00466EA5" w:rsidP="00466EA5">
            <w:pPr>
              <w:spacing w:before="0" w:after="0"/>
              <w:rPr>
                <w:rFonts w:cs="Arial"/>
                <w:iCs/>
                <w:szCs w:val="18"/>
                <w:lang w:val="en-GB"/>
              </w:rPr>
            </w:pPr>
            <w:r w:rsidRPr="00F24712">
              <w:rPr>
                <w:rFonts w:cs="Arial"/>
                <w:iCs/>
                <w:szCs w:val="18"/>
                <w:lang w:val="en-GB"/>
              </w:rPr>
              <w:t>ISO/IEC 17025:2017, “6.6 Externally provided products and services”</w:t>
            </w:r>
          </w:p>
          <w:p w14:paraId="7AC96381" w14:textId="77777777" w:rsidR="00695DED" w:rsidRPr="00F24712" w:rsidRDefault="00695DED" w:rsidP="00466EA5">
            <w:pPr>
              <w:spacing w:before="0" w:after="0"/>
              <w:rPr>
                <w:rFonts w:cs="Arial"/>
                <w:iCs/>
                <w:szCs w:val="18"/>
                <w:lang w:val="en-GB"/>
              </w:rPr>
            </w:pPr>
          </w:p>
          <w:p w14:paraId="1AFB330B" w14:textId="77777777" w:rsidR="005F213B" w:rsidRPr="00F24712" w:rsidRDefault="00466EA5" w:rsidP="006A7627">
            <w:pPr>
              <w:rPr>
                <w:rFonts w:cs="Arial"/>
                <w:iCs/>
                <w:szCs w:val="18"/>
                <w:lang w:val="en-GB"/>
              </w:rPr>
            </w:pPr>
            <w:r w:rsidRPr="00F24712">
              <w:rPr>
                <w:rFonts w:cs="Arial"/>
                <w:iCs/>
                <w:szCs w:val="18"/>
                <w:lang w:val="en-GB"/>
              </w:rPr>
              <w:lastRenderedPageBreak/>
              <w:t>The ITSEF shall operate according to defined procedures ensuring that:</w:t>
            </w:r>
          </w:p>
          <w:p w14:paraId="31E1E51E" w14:textId="2DD98E54" w:rsidR="005F213B" w:rsidRPr="00F24712" w:rsidRDefault="00466EA5" w:rsidP="009E1426">
            <w:pPr>
              <w:pStyle w:val="Listenabsatz"/>
              <w:numPr>
                <w:ilvl w:val="0"/>
                <w:numId w:val="30"/>
              </w:numPr>
              <w:ind w:left="243" w:hanging="243"/>
              <w:rPr>
                <w:rFonts w:cs="Arial"/>
                <w:iCs/>
                <w:szCs w:val="18"/>
                <w:lang w:val="en-GB"/>
              </w:rPr>
            </w:pPr>
            <w:r w:rsidRPr="00F24712">
              <w:rPr>
                <w:rFonts w:cs="Arial"/>
                <w:iCs/>
                <w:szCs w:val="18"/>
                <w:lang w:val="en-GB"/>
              </w:rPr>
              <w:t>The use of a subcontracted third-party facility is outlined in the evaluation plan, approved by the manufacturer or provider and by the CB and compliant with the obligations under the CSA, Annex 1 of the CSA and the EUCC while the ITSEF remains responsible for the work done. The subcontacted third-party shall be subject to the accreditation procedure for the subcontracted tasks it is performing;</w:t>
            </w:r>
          </w:p>
          <w:p w14:paraId="421F8B9C" w14:textId="77777777" w:rsidR="00466EA5" w:rsidRPr="00F24712" w:rsidRDefault="00466EA5" w:rsidP="009E1426">
            <w:pPr>
              <w:pStyle w:val="Listenabsatz"/>
              <w:numPr>
                <w:ilvl w:val="0"/>
                <w:numId w:val="30"/>
              </w:numPr>
              <w:ind w:left="243" w:hanging="243"/>
              <w:rPr>
                <w:rFonts w:cs="Arial"/>
                <w:iCs/>
                <w:szCs w:val="18"/>
                <w:lang w:val="en-GB"/>
              </w:rPr>
            </w:pPr>
            <w:r w:rsidRPr="00F24712">
              <w:rPr>
                <w:rFonts w:cs="Arial"/>
                <w:iCs/>
                <w:szCs w:val="18"/>
                <w:lang w:val="en-GB"/>
              </w:rPr>
              <w:t>If the ITSEF uses equipment at a third-party facility as specified in the sub-contracting, the evaluator shall be present and instruct the equipment operating personnel. To instruct the operating personnel, evaluators shall have the required knowledge of the subcontract with the third-party, the TOE, the equipment, and the purpose and scope of the evaluation.</w:t>
            </w:r>
          </w:p>
        </w:tc>
        <w:tc>
          <w:tcPr>
            <w:tcW w:w="1745" w:type="dxa"/>
            <w:shd w:val="clear" w:color="auto" w:fill="FFF2CC"/>
          </w:tcPr>
          <w:p w14:paraId="4F3BC619" w14:textId="77777777" w:rsidR="0028051C" w:rsidRPr="00BA5C85" w:rsidRDefault="0028051C" w:rsidP="0028051C">
            <w:pPr>
              <w:spacing w:before="0" w:after="0"/>
              <w:rPr>
                <w:rFonts w:cs="Arial"/>
                <w:iCs/>
                <w:noProof/>
                <w:sz w:val="18"/>
                <w:szCs w:val="18"/>
              </w:rPr>
            </w:pPr>
            <w:r w:rsidRPr="00BA5C85">
              <w:rPr>
                <w:rFonts w:cs="Arial"/>
                <w:iCs/>
                <w:noProof/>
                <w:sz w:val="18"/>
                <w:szCs w:val="18"/>
              </w:rPr>
              <w:lastRenderedPageBreak/>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432B9289"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79A1695C"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053D539"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6B27CDA3"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0C44684B" w14:textId="77777777" w:rsidTr="009F7FD9">
        <w:tc>
          <w:tcPr>
            <w:tcW w:w="687" w:type="dxa"/>
          </w:tcPr>
          <w:p w14:paraId="7A0FB022" w14:textId="76ADC65E" w:rsidR="0028051C" w:rsidRPr="00BA5C85" w:rsidRDefault="0028051C" w:rsidP="0028051C">
            <w:pPr>
              <w:spacing w:before="0" w:after="0"/>
              <w:rPr>
                <w:rFonts w:cs="Arial"/>
                <w:iCs/>
                <w:szCs w:val="18"/>
              </w:rPr>
            </w:pPr>
            <w:r>
              <w:rPr>
                <w:rFonts w:cs="Arial"/>
                <w:iCs/>
                <w:szCs w:val="18"/>
              </w:rPr>
              <w:t>6.2.</w:t>
            </w:r>
            <w:r w:rsidR="00705B51">
              <w:rPr>
                <w:rFonts w:cs="Arial"/>
                <w:iCs/>
                <w:szCs w:val="18"/>
              </w:rPr>
              <w:t>7</w:t>
            </w:r>
          </w:p>
        </w:tc>
        <w:tc>
          <w:tcPr>
            <w:tcW w:w="5218" w:type="dxa"/>
          </w:tcPr>
          <w:p w14:paraId="46E50D0D" w14:textId="77777777" w:rsidR="0028051C" w:rsidRPr="00F24712" w:rsidRDefault="0028051C" w:rsidP="0028051C">
            <w:pPr>
              <w:spacing w:before="0" w:after="0"/>
              <w:rPr>
                <w:rFonts w:cs="Arial"/>
                <w:b/>
                <w:iCs/>
                <w:szCs w:val="18"/>
                <w:lang w:val="en-GB"/>
              </w:rPr>
            </w:pPr>
            <w:r w:rsidRPr="00F24712">
              <w:rPr>
                <w:rFonts w:cs="Arial"/>
                <w:b/>
                <w:iCs/>
                <w:szCs w:val="18"/>
                <w:lang w:val="en-GB"/>
              </w:rPr>
              <w:t>Non-Compliance</w:t>
            </w:r>
          </w:p>
          <w:p w14:paraId="5C327992" w14:textId="77777777" w:rsidR="00466EA5" w:rsidRPr="00F24712" w:rsidRDefault="00466EA5" w:rsidP="00466EA5">
            <w:pPr>
              <w:spacing w:before="0" w:after="0"/>
              <w:rPr>
                <w:rFonts w:cs="Arial"/>
                <w:iCs/>
                <w:szCs w:val="18"/>
                <w:lang w:val="en-GB"/>
              </w:rPr>
            </w:pPr>
            <w:r w:rsidRPr="00F24712">
              <w:rPr>
                <w:rFonts w:cs="Arial"/>
                <w:iCs/>
                <w:szCs w:val="18"/>
                <w:lang w:val="en-GB"/>
              </w:rPr>
              <w:t>EUCC, “13. RULES RELATED TO NON-COMPLIANCE”</w:t>
            </w:r>
          </w:p>
          <w:p w14:paraId="176ECBAE" w14:textId="77777777" w:rsidR="00695DED" w:rsidRPr="00F24712" w:rsidRDefault="00695DED" w:rsidP="00466EA5">
            <w:pPr>
              <w:spacing w:before="0" w:after="0"/>
              <w:rPr>
                <w:rFonts w:cs="Arial"/>
                <w:iCs/>
                <w:szCs w:val="18"/>
                <w:lang w:val="en-GB"/>
              </w:rPr>
            </w:pPr>
          </w:p>
          <w:p w14:paraId="10888C6F" w14:textId="77777777" w:rsidR="005F213B" w:rsidRPr="00F24712" w:rsidRDefault="00466EA5" w:rsidP="006A7627">
            <w:pPr>
              <w:rPr>
                <w:rFonts w:cs="Arial"/>
                <w:iCs/>
                <w:szCs w:val="18"/>
                <w:lang w:val="en-GB"/>
              </w:rPr>
            </w:pPr>
            <w:r w:rsidRPr="00F24712">
              <w:rPr>
                <w:rFonts w:cs="Arial"/>
                <w:iCs/>
                <w:szCs w:val="18"/>
                <w:lang w:val="en-GB"/>
              </w:rPr>
              <w:t>The ITSEF shall support the CB’s, for which it performed evaluation activities, in their handling of non-compliances in the conditions under which the evaluation of the certification takes place, by defining and operating a process where:</w:t>
            </w:r>
          </w:p>
          <w:p w14:paraId="618036F8" w14:textId="77777777" w:rsidR="005F213B" w:rsidRPr="00F24712" w:rsidRDefault="00466EA5" w:rsidP="009E1426">
            <w:pPr>
              <w:pStyle w:val="Listenabsatz"/>
              <w:numPr>
                <w:ilvl w:val="0"/>
                <w:numId w:val="30"/>
              </w:numPr>
              <w:ind w:left="243" w:hanging="209"/>
              <w:rPr>
                <w:rFonts w:cs="Arial"/>
                <w:iCs/>
                <w:szCs w:val="18"/>
                <w:lang w:val="en-GB"/>
              </w:rPr>
            </w:pPr>
            <w:r w:rsidRPr="00F24712">
              <w:rPr>
                <w:rFonts w:cs="Arial"/>
                <w:iCs/>
                <w:szCs w:val="18"/>
                <w:lang w:val="en-GB"/>
              </w:rPr>
              <w:t>They identify within the scope of their tasks potentially impacted certified ICT products, from those TOEs evaluated by the ITSEF that contributed to the certification of the ICT product.</w:t>
            </w:r>
          </w:p>
          <w:p w14:paraId="0EC9AE39" w14:textId="77777777" w:rsidR="005F213B" w:rsidRPr="00F24712" w:rsidRDefault="00466EA5" w:rsidP="009E1426">
            <w:pPr>
              <w:pStyle w:val="Listenabsatz"/>
              <w:numPr>
                <w:ilvl w:val="0"/>
                <w:numId w:val="30"/>
              </w:numPr>
              <w:ind w:left="243" w:hanging="209"/>
              <w:rPr>
                <w:rFonts w:cs="Arial"/>
                <w:iCs/>
                <w:szCs w:val="18"/>
                <w:lang w:val="en-GB"/>
              </w:rPr>
            </w:pPr>
            <w:r w:rsidRPr="00F24712">
              <w:rPr>
                <w:rFonts w:cs="Arial"/>
                <w:iCs/>
                <w:szCs w:val="18"/>
                <w:lang w:val="en-GB"/>
              </w:rPr>
              <w:t>They perform where deemed necessary by the CB, or at the discretion of the NCCA, a series of re-evaluation tasks on one or more certified ICT products.</w:t>
            </w:r>
          </w:p>
          <w:p w14:paraId="6A2D8A49" w14:textId="77777777" w:rsidR="00466EA5" w:rsidRPr="00F24712" w:rsidRDefault="00466EA5" w:rsidP="009E1426">
            <w:pPr>
              <w:pStyle w:val="Listenabsatz"/>
              <w:numPr>
                <w:ilvl w:val="0"/>
                <w:numId w:val="30"/>
              </w:numPr>
              <w:ind w:left="243" w:hanging="209"/>
              <w:rPr>
                <w:rFonts w:cs="Arial"/>
                <w:iCs/>
                <w:szCs w:val="18"/>
                <w:lang w:val="en-GB"/>
              </w:rPr>
            </w:pPr>
            <w:r w:rsidRPr="00F24712">
              <w:rPr>
                <w:rFonts w:cs="Arial"/>
                <w:iCs/>
                <w:szCs w:val="18"/>
                <w:lang w:val="en-GB"/>
              </w:rPr>
              <w:t>If the ITSEF that performed evaluation activities on behalf of a certified product, proves to be non-compliant, the NCCA handling the non-compliance with the responsible CB may appoint an other supporting ITSEF to perform certain evaluation activities.</w:t>
            </w:r>
          </w:p>
        </w:tc>
        <w:tc>
          <w:tcPr>
            <w:tcW w:w="1745" w:type="dxa"/>
            <w:shd w:val="clear" w:color="auto" w:fill="FFF2CC"/>
          </w:tcPr>
          <w:p w14:paraId="701EFA98" w14:textId="77777777" w:rsidR="0028051C" w:rsidRPr="00BA5C85" w:rsidRDefault="0028051C" w:rsidP="0028051C">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6F807E85"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F82A456"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1E73FFF"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F8F01C9"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36568D10" w14:textId="77777777" w:rsidTr="009F7FD9">
        <w:tc>
          <w:tcPr>
            <w:tcW w:w="687" w:type="dxa"/>
          </w:tcPr>
          <w:p w14:paraId="3761CAC8" w14:textId="03A00601" w:rsidR="0028051C" w:rsidRPr="00BA5C85" w:rsidRDefault="0028051C" w:rsidP="0028051C">
            <w:pPr>
              <w:spacing w:before="0" w:after="0"/>
              <w:rPr>
                <w:rFonts w:cs="Arial"/>
                <w:iCs/>
                <w:szCs w:val="18"/>
              </w:rPr>
            </w:pPr>
            <w:r>
              <w:rPr>
                <w:rFonts w:cs="Arial"/>
                <w:iCs/>
                <w:szCs w:val="18"/>
              </w:rPr>
              <w:t>6.2.</w:t>
            </w:r>
            <w:r w:rsidR="00705B51">
              <w:rPr>
                <w:rFonts w:cs="Arial"/>
                <w:iCs/>
                <w:szCs w:val="18"/>
              </w:rPr>
              <w:t>8</w:t>
            </w:r>
          </w:p>
        </w:tc>
        <w:tc>
          <w:tcPr>
            <w:tcW w:w="5218" w:type="dxa"/>
          </w:tcPr>
          <w:p w14:paraId="3DAD23B6" w14:textId="77777777" w:rsidR="0028051C" w:rsidRPr="00F24712" w:rsidRDefault="0028051C" w:rsidP="0028051C">
            <w:pPr>
              <w:spacing w:before="0" w:after="0"/>
              <w:rPr>
                <w:rFonts w:cs="Arial"/>
                <w:iCs/>
                <w:szCs w:val="18"/>
                <w:lang w:val="en-GB"/>
              </w:rPr>
            </w:pPr>
            <w:r w:rsidRPr="00F24712">
              <w:rPr>
                <w:rFonts w:cs="Arial"/>
                <w:iCs/>
                <w:szCs w:val="18"/>
                <w:lang w:val="en-GB"/>
              </w:rPr>
              <w:t>Retention of Records</w:t>
            </w:r>
          </w:p>
          <w:p w14:paraId="363FDAC7" w14:textId="77777777" w:rsidR="00466EA5" w:rsidRPr="00F24712" w:rsidRDefault="00466EA5" w:rsidP="00466EA5">
            <w:pPr>
              <w:spacing w:before="0" w:after="0"/>
              <w:rPr>
                <w:rFonts w:cs="Arial"/>
                <w:iCs/>
                <w:szCs w:val="18"/>
                <w:lang w:val="en-GB"/>
              </w:rPr>
            </w:pPr>
            <w:r w:rsidRPr="00F24712">
              <w:rPr>
                <w:rFonts w:cs="Arial"/>
                <w:iCs/>
                <w:szCs w:val="18"/>
                <w:lang w:val="en-GB"/>
              </w:rPr>
              <w:t>EUCC, “15. RETENTION OF RECORDS BY A CAB”</w:t>
            </w:r>
          </w:p>
          <w:p w14:paraId="4AB8E014" w14:textId="7C2FB968" w:rsidR="00466EA5" w:rsidRPr="00F24712" w:rsidRDefault="00466EA5" w:rsidP="00466EA5">
            <w:pPr>
              <w:spacing w:before="0" w:after="0"/>
              <w:rPr>
                <w:rFonts w:cs="Arial"/>
                <w:iCs/>
                <w:szCs w:val="18"/>
                <w:lang w:val="en-GB"/>
              </w:rPr>
            </w:pPr>
            <w:r w:rsidRPr="00F24712">
              <w:rPr>
                <w:rFonts w:cs="Arial"/>
                <w:iCs/>
                <w:szCs w:val="18"/>
                <w:lang w:val="en-GB"/>
              </w:rPr>
              <w:t xml:space="preserve">ISO/IEC 17025:2017, “7.5 Technical records”, </w:t>
            </w:r>
            <w:r w:rsidR="009E1426">
              <w:rPr>
                <w:rFonts w:cs="Arial"/>
                <w:iCs/>
                <w:szCs w:val="18"/>
                <w:lang w:val="en-GB"/>
              </w:rPr>
              <w:br/>
            </w:r>
            <w:r w:rsidRPr="00F24712">
              <w:rPr>
                <w:rFonts w:cs="Arial"/>
                <w:iCs/>
                <w:szCs w:val="18"/>
                <w:lang w:val="en-GB"/>
              </w:rPr>
              <w:t>“8.4 Control of records”</w:t>
            </w:r>
          </w:p>
          <w:p w14:paraId="31794CAA" w14:textId="77777777" w:rsidR="009C317A" w:rsidRPr="00F24712" w:rsidRDefault="009C317A" w:rsidP="00466EA5">
            <w:pPr>
              <w:spacing w:before="0" w:after="0"/>
              <w:rPr>
                <w:rFonts w:cs="Arial"/>
                <w:iCs/>
                <w:szCs w:val="18"/>
                <w:lang w:val="en-GB"/>
              </w:rPr>
            </w:pPr>
          </w:p>
          <w:p w14:paraId="157ED0BB" w14:textId="77777777" w:rsidR="00466EA5" w:rsidRPr="00F24712" w:rsidRDefault="00466EA5" w:rsidP="006A7627">
            <w:pPr>
              <w:rPr>
                <w:rFonts w:cs="Arial"/>
                <w:iCs/>
                <w:szCs w:val="18"/>
                <w:lang w:val="en-GB"/>
              </w:rPr>
            </w:pPr>
            <w:r w:rsidRPr="00F24712">
              <w:rPr>
                <w:rFonts w:cs="Arial"/>
                <w:iCs/>
                <w:szCs w:val="18"/>
                <w:lang w:val="en-GB"/>
              </w:rPr>
              <w:t>The record system shall include all records and other related documents produced in connection with each evaluation; the recording shall be updated, accurate and complete to enable the course of each evaluation to be traced and reproduceable.</w:t>
            </w:r>
          </w:p>
          <w:p w14:paraId="3D1A4789" w14:textId="77777777" w:rsidR="00466EA5" w:rsidRPr="00F24712" w:rsidRDefault="00466EA5" w:rsidP="006A7627">
            <w:pPr>
              <w:rPr>
                <w:rFonts w:cs="Arial"/>
                <w:iCs/>
                <w:szCs w:val="18"/>
                <w:lang w:val="en-GB"/>
              </w:rPr>
            </w:pPr>
            <w:r w:rsidRPr="00F24712">
              <w:rPr>
                <w:rFonts w:cs="Arial"/>
                <w:iCs/>
                <w:szCs w:val="18"/>
                <w:lang w:val="en-GB"/>
              </w:rPr>
              <w:t xml:space="preserve">All records shall be securely and accessibly stored for a period of at least five (5) years after the final date of the certificate </w:t>
            </w:r>
            <w:r w:rsidRPr="00F24712">
              <w:rPr>
                <w:rFonts w:cs="Arial"/>
                <w:iCs/>
                <w:szCs w:val="18"/>
                <w:lang w:val="en-GB"/>
              </w:rPr>
              <w:lastRenderedPageBreak/>
              <w:t>validity, with the exception of running investigations related non-compliance and complaint handling and their respective legal remedy procedures.</w:t>
            </w:r>
          </w:p>
          <w:p w14:paraId="3437360D" w14:textId="77777777" w:rsidR="00466EA5" w:rsidRPr="00F24712" w:rsidRDefault="00466EA5" w:rsidP="006A7627">
            <w:pPr>
              <w:rPr>
                <w:rFonts w:cs="Arial"/>
                <w:iCs/>
                <w:szCs w:val="18"/>
                <w:lang w:val="en-GB"/>
              </w:rPr>
            </w:pPr>
            <w:r w:rsidRPr="00F24712">
              <w:rPr>
                <w:rFonts w:cs="Arial"/>
                <w:iCs/>
                <w:szCs w:val="18"/>
                <w:lang w:val="en-GB"/>
              </w:rPr>
              <w:t>All records related to the handling of non-compliances and/or complaints not related to the evaluation shall be kept for a period of at least five (5) years after the non-compliance and/or complaint was handled and all related (legal) procedures are closed.</w:t>
            </w:r>
          </w:p>
          <w:p w14:paraId="45215E0C" w14:textId="77777777" w:rsidR="00466EA5" w:rsidRPr="00F24712" w:rsidRDefault="00466EA5" w:rsidP="006A7627">
            <w:pPr>
              <w:rPr>
                <w:rFonts w:cs="Arial"/>
                <w:iCs/>
                <w:szCs w:val="18"/>
                <w:lang w:val="en-GB"/>
              </w:rPr>
            </w:pPr>
            <w:r w:rsidRPr="00F24712">
              <w:rPr>
                <w:rFonts w:cs="Arial"/>
                <w:iCs/>
                <w:szCs w:val="18"/>
                <w:lang w:val="en-GB"/>
              </w:rPr>
              <w:t>In case a different expiration date of the certificate has been attributed in accordance with the conditions of Chapter 12, CONDITIONS FOR ISSUING, MAINTAINING, CONTINUING AND RENEWING CERTIFICATES of the EUCC, it shall be taken into account for the new calculation of the retention period of the records, with the same rules in this section.</w:t>
            </w:r>
          </w:p>
          <w:p w14:paraId="2C21DD95" w14:textId="77777777" w:rsidR="00466EA5" w:rsidRPr="00F24712" w:rsidRDefault="00466EA5" w:rsidP="006A7627">
            <w:pPr>
              <w:rPr>
                <w:rFonts w:cs="Arial"/>
                <w:iCs/>
                <w:szCs w:val="18"/>
                <w:lang w:val="en-GB"/>
              </w:rPr>
            </w:pPr>
            <w:r w:rsidRPr="00F24712">
              <w:rPr>
                <w:rFonts w:cs="Arial"/>
                <w:iCs/>
                <w:szCs w:val="18"/>
                <w:lang w:val="en-GB"/>
              </w:rPr>
              <w:t>New or revised information related to the activities described under Chapter 12, CONDITIONS FOR ISSUING, MAINTAINING, CONTINUING AND RENEWING CERTIFICATES of the EUCC shall be added to the previous records for the evaluation.</w:t>
            </w:r>
          </w:p>
        </w:tc>
        <w:tc>
          <w:tcPr>
            <w:tcW w:w="1745" w:type="dxa"/>
            <w:shd w:val="clear" w:color="auto" w:fill="FFF2CC"/>
          </w:tcPr>
          <w:p w14:paraId="2A3E7432" w14:textId="77777777" w:rsidR="0028051C" w:rsidRPr="00BA5C85" w:rsidRDefault="0028051C" w:rsidP="0028051C">
            <w:pPr>
              <w:spacing w:before="0" w:after="0"/>
              <w:rPr>
                <w:rFonts w:cs="Arial"/>
                <w:iCs/>
                <w:noProof/>
                <w:sz w:val="18"/>
                <w:szCs w:val="18"/>
              </w:rPr>
            </w:pPr>
            <w:r w:rsidRPr="00BA5C85">
              <w:rPr>
                <w:rFonts w:cs="Arial"/>
                <w:iCs/>
                <w:noProof/>
                <w:sz w:val="18"/>
                <w:szCs w:val="18"/>
              </w:rPr>
              <w:lastRenderedPageBreak/>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38FC7E8D"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98FBFA3"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AB7B6F1"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64F21683"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40C4BD38" w14:textId="77777777" w:rsidTr="009F7FD9">
        <w:tc>
          <w:tcPr>
            <w:tcW w:w="687" w:type="dxa"/>
          </w:tcPr>
          <w:p w14:paraId="316E60C0" w14:textId="2D12FF99" w:rsidR="0028051C" w:rsidRPr="00BA5C85" w:rsidRDefault="0028051C" w:rsidP="0028051C">
            <w:pPr>
              <w:spacing w:before="0" w:after="0"/>
              <w:rPr>
                <w:rFonts w:cs="Arial"/>
                <w:iCs/>
                <w:szCs w:val="18"/>
              </w:rPr>
            </w:pPr>
            <w:r>
              <w:rPr>
                <w:rFonts w:cs="Arial"/>
                <w:iCs/>
                <w:szCs w:val="18"/>
              </w:rPr>
              <w:t>6.2.</w:t>
            </w:r>
            <w:r w:rsidR="00705B51">
              <w:rPr>
                <w:rFonts w:cs="Arial"/>
                <w:iCs/>
                <w:szCs w:val="18"/>
              </w:rPr>
              <w:t>9</w:t>
            </w:r>
          </w:p>
        </w:tc>
        <w:tc>
          <w:tcPr>
            <w:tcW w:w="5218" w:type="dxa"/>
          </w:tcPr>
          <w:p w14:paraId="72827998" w14:textId="77777777" w:rsidR="0028051C" w:rsidRPr="00F24712" w:rsidRDefault="0028051C" w:rsidP="0028051C">
            <w:pPr>
              <w:spacing w:before="0" w:after="0"/>
              <w:rPr>
                <w:rFonts w:cs="Arial"/>
                <w:b/>
                <w:iCs/>
                <w:szCs w:val="18"/>
                <w:lang w:val="en-GB"/>
              </w:rPr>
            </w:pPr>
            <w:r w:rsidRPr="00F24712">
              <w:rPr>
                <w:rFonts w:cs="Arial"/>
                <w:b/>
                <w:iCs/>
                <w:szCs w:val="18"/>
                <w:lang w:val="en-GB"/>
              </w:rPr>
              <w:t>Ensuring the validity of results</w:t>
            </w:r>
          </w:p>
          <w:p w14:paraId="127F9FE0" w14:textId="02AB204B" w:rsidR="00466EA5" w:rsidRDefault="00466EA5" w:rsidP="00466EA5">
            <w:pPr>
              <w:spacing w:before="0" w:after="0"/>
              <w:rPr>
                <w:rFonts w:cs="Arial"/>
                <w:iCs/>
                <w:szCs w:val="18"/>
                <w:lang w:val="en-GB"/>
              </w:rPr>
            </w:pPr>
            <w:r w:rsidRPr="00F24712">
              <w:rPr>
                <w:rFonts w:cs="Arial"/>
                <w:iCs/>
                <w:szCs w:val="18"/>
                <w:lang w:val="en-GB"/>
              </w:rPr>
              <w:t>ISO/IEC 17025:2017, “7.7.2 Monitoring of laboratory performance”</w:t>
            </w:r>
          </w:p>
          <w:p w14:paraId="7A0287BA" w14:textId="77777777" w:rsidR="009E1426" w:rsidRPr="00F24712" w:rsidRDefault="009E1426" w:rsidP="00466EA5">
            <w:pPr>
              <w:spacing w:before="0" w:after="0"/>
              <w:rPr>
                <w:rFonts w:cs="Arial"/>
                <w:iCs/>
                <w:szCs w:val="18"/>
                <w:lang w:val="en-GB"/>
              </w:rPr>
            </w:pPr>
          </w:p>
          <w:p w14:paraId="45251E54" w14:textId="77777777" w:rsidR="00466EA5" w:rsidRPr="00F24712" w:rsidRDefault="00466EA5" w:rsidP="00466EA5">
            <w:pPr>
              <w:spacing w:before="0" w:after="0"/>
              <w:rPr>
                <w:rFonts w:cs="Arial"/>
                <w:iCs/>
                <w:szCs w:val="18"/>
                <w:lang w:val="en-GB"/>
              </w:rPr>
            </w:pPr>
            <w:r w:rsidRPr="00F24712">
              <w:rPr>
                <w:rFonts w:cs="Arial"/>
                <w:iCs/>
                <w:szCs w:val="18"/>
                <w:lang w:val="en-GB"/>
              </w:rPr>
              <w:t>This clause requires that a laboratory shall monitor its performance by comparison with the results of other laboratories. In particular, the ITSEF needs to demonstrate that it is having a planning and where already the benchmarking is performed a demonstrated proof of participation and result report.</w:t>
            </w:r>
          </w:p>
          <w:p w14:paraId="3C096112" w14:textId="77777777" w:rsidR="00466EA5" w:rsidRPr="00F24712" w:rsidRDefault="00466EA5" w:rsidP="00466EA5">
            <w:pPr>
              <w:spacing w:before="0" w:after="0"/>
              <w:rPr>
                <w:rFonts w:cs="Arial"/>
                <w:iCs/>
                <w:szCs w:val="18"/>
                <w:lang w:val="en-GB"/>
              </w:rPr>
            </w:pPr>
            <w:r w:rsidRPr="00F24712">
              <w:rPr>
                <w:rFonts w:cs="Arial"/>
                <w:iCs/>
                <w:szCs w:val="18"/>
                <w:lang w:val="en-GB"/>
              </w:rPr>
              <w:t>Further guidance is needed how to apply this requirement on CC laboratories, also to ensure a level playing field within Europe.</w:t>
            </w:r>
          </w:p>
        </w:tc>
        <w:tc>
          <w:tcPr>
            <w:tcW w:w="1745" w:type="dxa"/>
            <w:shd w:val="clear" w:color="auto" w:fill="FFF2CC"/>
          </w:tcPr>
          <w:p w14:paraId="4EDDC03C" w14:textId="77777777" w:rsidR="0028051C" w:rsidRPr="00BA5C85" w:rsidRDefault="0028051C" w:rsidP="0028051C">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2C24AFB0"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674D060"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A6AB9C3"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0B651AE0"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759928C2" w14:textId="77777777" w:rsidTr="009F7FD9">
        <w:tc>
          <w:tcPr>
            <w:tcW w:w="687" w:type="dxa"/>
          </w:tcPr>
          <w:p w14:paraId="569BEFE0" w14:textId="4CE46301" w:rsidR="0028051C" w:rsidRPr="00BA5C85" w:rsidRDefault="0028051C" w:rsidP="0028051C">
            <w:pPr>
              <w:spacing w:before="0" w:after="0"/>
              <w:rPr>
                <w:rFonts w:cs="Arial"/>
                <w:iCs/>
                <w:szCs w:val="18"/>
              </w:rPr>
            </w:pPr>
            <w:r>
              <w:rPr>
                <w:rFonts w:cs="Arial"/>
                <w:iCs/>
                <w:szCs w:val="18"/>
              </w:rPr>
              <w:t>6.2.</w:t>
            </w:r>
            <w:r w:rsidR="00705B51">
              <w:rPr>
                <w:rFonts w:cs="Arial"/>
                <w:iCs/>
                <w:szCs w:val="18"/>
              </w:rPr>
              <w:t>10</w:t>
            </w:r>
          </w:p>
        </w:tc>
        <w:tc>
          <w:tcPr>
            <w:tcW w:w="5218" w:type="dxa"/>
          </w:tcPr>
          <w:p w14:paraId="374E38BF" w14:textId="77777777" w:rsidR="0028051C" w:rsidRPr="00F24712" w:rsidRDefault="0028051C" w:rsidP="0028051C">
            <w:pPr>
              <w:spacing w:before="0" w:after="0"/>
              <w:rPr>
                <w:rFonts w:cs="Arial"/>
                <w:b/>
                <w:iCs/>
                <w:szCs w:val="18"/>
                <w:lang w:val="en-GB"/>
              </w:rPr>
            </w:pPr>
            <w:r w:rsidRPr="00F24712">
              <w:rPr>
                <w:rFonts w:cs="Arial"/>
                <w:b/>
                <w:iCs/>
                <w:szCs w:val="18"/>
                <w:lang w:val="en-GB"/>
              </w:rPr>
              <w:t>Management System documentation</w:t>
            </w:r>
          </w:p>
          <w:p w14:paraId="4EE3BF18" w14:textId="77777777" w:rsidR="008C0A2E" w:rsidRPr="00F24712" w:rsidRDefault="008C0A2E" w:rsidP="008C0A2E">
            <w:pPr>
              <w:spacing w:before="0" w:after="0"/>
              <w:rPr>
                <w:rFonts w:cs="Arial"/>
                <w:iCs/>
                <w:szCs w:val="18"/>
                <w:lang w:val="en-GB"/>
              </w:rPr>
            </w:pPr>
            <w:r w:rsidRPr="00F24712">
              <w:rPr>
                <w:rFonts w:cs="Arial"/>
                <w:iCs/>
                <w:szCs w:val="18"/>
                <w:lang w:val="en-GB"/>
              </w:rPr>
              <w:t>ISO/IEC 17025:2017, “8.2 Management system documentation (Option A)”</w:t>
            </w:r>
          </w:p>
          <w:p w14:paraId="1226CF0B" w14:textId="77777777" w:rsidR="008C0A2E" w:rsidRPr="00F24712" w:rsidRDefault="008C0A2E" w:rsidP="008C0A2E">
            <w:pPr>
              <w:spacing w:before="0" w:after="0"/>
              <w:rPr>
                <w:rFonts w:cs="Arial"/>
                <w:iCs/>
                <w:szCs w:val="18"/>
                <w:lang w:val="en-GB"/>
              </w:rPr>
            </w:pPr>
            <w:r w:rsidRPr="00F24712">
              <w:rPr>
                <w:rFonts w:cs="Arial"/>
                <w:iCs/>
                <w:szCs w:val="18"/>
                <w:lang w:val="en-GB"/>
              </w:rPr>
              <w:t>Additional requirement to ISO/IEC TS 23532-1:2021, 8.2.8</w:t>
            </w:r>
          </w:p>
          <w:p w14:paraId="75E18BDF" w14:textId="77777777" w:rsidR="00280296" w:rsidRPr="00F24712" w:rsidRDefault="00280296" w:rsidP="008C0A2E">
            <w:pPr>
              <w:spacing w:before="0" w:after="0"/>
              <w:rPr>
                <w:rFonts w:cs="Arial"/>
                <w:iCs/>
                <w:szCs w:val="18"/>
                <w:lang w:val="en-GB"/>
              </w:rPr>
            </w:pPr>
          </w:p>
          <w:p w14:paraId="68BFD0A9" w14:textId="77777777" w:rsidR="008C0A2E" w:rsidRPr="00F24712" w:rsidRDefault="008C0A2E" w:rsidP="008C0A2E">
            <w:pPr>
              <w:spacing w:before="0" w:after="0"/>
              <w:rPr>
                <w:rFonts w:cs="Arial"/>
                <w:iCs/>
                <w:szCs w:val="18"/>
                <w:lang w:val="en-GB"/>
              </w:rPr>
            </w:pPr>
            <w:r w:rsidRPr="00F24712">
              <w:rPr>
                <w:rFonts w:cs="Arial"/>
                <w:iCs/>
                <w:szCs w:val="18"/>
                <w:lang w:val="en-GB"/>
              </w:rPr>
              <w:t>Procedures for evaluation should be written with a level of detail that would allow a technical competent evaluator to perform the evaluation without further guidance.</w:t>
            </w:r>
          </w:p>
        </w:tc>
        <w:tc>
          <w:tcPr>
            <w:tcW w:w="1745" w:type="dxa"/>
            <w:shd w:val="clear" w:color="auto" w:fill="FFF2CC"/>
          </w:tcPr>
          <w:p w14:paraId="21B4DDE8" w14:textId="77777777" w:rsidR="0028051C" w:rsidRPr="00BA5C85" w:rsidRDefault="0028051C" w:rsidP="0028051C">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32B1C015"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6822C54F"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8F8662E"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0C74BD91"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405F2B5D" w14:textId="77777777" w:rsidTr="009F7FD9">
        <w:tc>
          <w:tcPr>
            <w:tcW w:w="687" w:type="dxa"/>
          </w:tcPr>
          <w:p w14:paraId="0FBD8674" w14:textId="70B6EFB5" w:rsidR="0028051C" w:rsidRPr="00BA5C85" w:rsidRDefault="0028051C" w:rsidP="0028051C">
            <w:pPr>
              <w:spacing w:before="0" w:after="0"/>
              <w:rPr>
                <w:rFonts w:cs="Arial"/>
                <w:iCs/>
                <w:szCs w:val="18"/>
              </w:rPr>
            </w:pPr>
            <w:r>
              <w:rPr>
                <w:rFonts w:cs="Arial"/>
                <w:iCs/>
                <w:szCs w:val="18"/>
              </w:rPr>
              <w:t>6.2.1</w:t>
            </w:r>
            <w:r w:rsidR="00705B51">
              <w:rPr>
                <w:rFonts w:cs="Arial"/>
                <w:iCs/>
                <w:szCs w:val="18"/>
              </w:rPr>
              <w:t>1</w:t>
            </w:r>
          </w:p>
        </w:tc>
        <w:tc>
          <w:tcPr>
            <w:tcW w:w="5218" w:type="dxa"/>
          </w:tcPr>
          <w:p w14:paraId="74DBB9DF" w14:textId="7949E442" w:rsidR="008C0A2E" w:rsidRDefault="0028051C" w:rsidP="00280296">
            <w:pPr>
              <w:spacing w:before="0" w:after="0"/>
              <w:rPr>
                <w:lang w:val="en-GB"/>
              </w:rPr>
            </w:pPr>
            <w:r w:rsidRPr="00F24712">
              <w:rPr>
                <w:rFonts w:cs="Arial"/>
                <w:b/>
                <w:iCs/>
                <w:szCs w:val="18"/>
                <w:lang w:val="en-GB"/>
              </w:rPr>
              <w:t>Quality process</w:t>
            </w:r>
            <w:r w:rsidR="00280296" w:rsidRPr="00F24712">
              <w:rPr>
                <w:rFonts w:cs="Arial"/>
                <w:b/>
                <w:iCs/>
                <w:szCs w:val="18"/>
                <w:lang w:val="en-GB"/>
              </w:rPr>
              <w:br/>
            </w:r>
            <w:r w:rsidR="008C0A2E" w:rsidRPr="00F24712">
              <w:rPr>
                <w:lang w:val="en-GB"/>
              </w:rPr>
              <w:t>EUCC, “11. RULES FOR MONITORING COMPLIANCE”</w:t>
            </w:r>
            <w:r w:rsidR="008C0A2E" w:rsidRPr="00F24712">
              <w:rPr>
                <w:lang w:val="en-GB"/>
              </w:rPr>
              <w:br/>
              <w:t>ISO/IEC 17025:2017, “8.8 Internal audits”</w:t>
            </w:r>
          </w:p>
          <w:p w14:paraId="22C6B3FC" w14:textId="77777777" w:rsidR="009E1426" w:rsidRPr="00F24712" w:rsidRDefault="009E1426" w:rsidP="00280296">
            <w:pPr>
              <w:spacing w:before="0" w:after="0"/>
              <w:rPr>
                <w:lang w:val="en-GB"/>
              </w:rPr>
            </w:pPr>
          </w:p>
          <w:p w14:paraId="2C76A6E2" w14:textId="77777777" w:rsidR="008C0A2E" w:rsidRPr="00F24712" w:rsidRDefault="008C0A2E" w:rsidP="009F7FD9">
            <w:pPr>
              <w:pStyle w:val="Textkrper"/>
              <w:rPr>
                <w:sz w:val="20"/>
                <w:lang w:val="en-GB"/>
              </w:rPr>
            </w:pPr>
            <w:r w:rsidRPr="00F24712">
              <w:rPr>
                <w:sz w:val="20"/>
                <w:lang w:val="en-GB"/>
              </w:rPr>
              <w:t>The management process of the ITSEF shall explicitly ensure conformity with all the applicable requirements and obligations of the EUCC, including the requirements associated to handle complaints.</w:t>
            </w:r>
          </w:p>
        </w:tc>
        <w:tc>
          <w:tcPr>
            <w:tcW w:w="1745" w:type="dxa"/>
            <w:shd w:val="clear" w:color="auto" w:fill="FFF2CC"/>
          </w:tcPr>
          <w:p w14:paraId="5EED0424" w14:textId="77777777" w:rsidR="0028051C" w:rsidRPr="00BA5C85" w:rsidRDefault="0028051C" w:rsidP="0028051C">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45C4C354"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88636B9"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3FEE1C71"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2CC5EE99"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7912BBBA" w14:textId="77777777" w:rsidTr="009F7FD9">
        <w:tc>
          <w:tcPr>
            <w:tcW w:w="687" w:type="dxa"/>
          </w:tcPr>
          <w:p w14:paraId="1E0F6913" w14:textId="3516E47F" w:rsidR="0028051C" w:rsidRPr="00BA5C85" w:rsidRDefault="0028051C" w:rsidP="0028051C">
            <w:pPr>
              <w:spacing w:before="0" w:after="0"/>
              <w:rPr>
                <w:rFonts w:cs="Arial"/>
                <w:iCs/>
                <w:szCs w:val="18"/>
              </w:rPr>
            </w:pPr>
            <w:r>
              <w:rPr>
                <w:rFonts w:cs="Arial"/>
                <w:iCs/>
                <w:szCs w:val="18"/>
              </w:rPr>
              <w:lastRenderedPageBreak/>
              <w:t>6.2.1</w:t>
            </w:r>
            <w:r w:rsidR="00705B51">
              <w:rPr>
                <w:rFonts w:cs="Arial"/>
                <w:iCs/>
                <w:szCs w:val="18"/>
              </w:rPr>
              <w:t>2</w:t>
            </w:r>
          </w:p>
        </w:tc>
        <w:tc>
          <w:tcPr>
            <w:tcW w:w="5218" w:type="dxa"/>
          </w:tcPr>
          <w:p w14:paraId="503ED305" w14:textId="77777777" w:rsidR="0028051C" w:rsidRPr="00F24712" w:rsidRDefault="0028051C" w:rsidP="006A7627">
            <w:pPr>
              <w:spacing w:before="0" w:after="0"/>
              <w:rPr>
                <w:rFonts w:cs="Arial"/>
                <w:b/>
                <w:iCs/>
                <w:szCs w:val="18"/>
                <w:lang w:val="en-GB"/>
              </w:rPr>
            </w:pPr>
            <w:r w:rsidRPr="00F24712">
              <w:rPr>
                <w:rFonts w:cs="Arial"/>
                <w:b/>
                <w:iCs/>
                <w:szCs w:val="18"/>
                <w:lang w:val="en-GB"/>
              </w:rPr>
              <w:t>Composite evaluations</w:t>
            </w:r>
          </w:p>
          <w:p w14:paraId="15324DD9" w14:textId="77777777" w:rsidR="008C0A2E" w:rsidRPr="00F24712" w:rsidRDefault="008C0A2E" w:rsidP="006A7627">
            <w:pPr>
              <w:spacing w:before="0" w:after="0"/>
              <w:rPr>
                <w:rFonts w:cs="Arial"/>
                <w:iCs/>
                <w:szCs w:val="18"/>
                <w:lang w:val="en-GB"/>
              </w:rPr>
            </w:pPr>
            <w:r w:rsidRPr="00F24712">
              <w:rPr>
                <w:rFonts w:cs="Arial"/>
                <w:iCs/>
                <w:szCs w:val="18"/>
                <w:lang w:val="en-GB"/>
              </w:rPr>
              <w:t>EUCC, “8. SPECIFIC EVALUATION CRITERIA AND METHODS”</w:t>
            </w:r>
          </w:p>
          <w:p w14:paraId="45E127F1" w14:textId="77777777" w:rsidR="00280296" w:rsidRPr="00F24712" w:rsidRDefault="00280296" w:rsidP="006A7627">
            <w:pPr>
              <w:spacing w:before="0" w:after="0"/>
              <w:rPr>
                <w:rFonts w:cs="Arial"/>
                <w:iCs/>
                <w:szCs w:val="18"/>
                <w:lang w:val="en-GB"/>
              </w:rPr>
            </w:pPr>
          </w:p>
          <w:p w14:paraId="69C62589" w14:textId="77777777" w:rsidR="008C0A2E" w:rsidRPr="00F24712" w:rsidRDefault="008C0A2E" w:rsidP="006A7627">
            <w:pPr>
              <w:rPr>
                <w:rFonts w:cs="Arial"/>
                <w:iCs/>
                <w:szCs w:val="18"/>
                <w:lang w:val="en-GB"/>
              </w:rPr>
            </w:pPr>
            <w:r w:rsidRPr="00F24712">
              <w:rPr>
                <w:rFonts w:cs="Arial"/>
                <w:iCs/>
                <w:szCs w:val="18"/>
                <w:lang w:val="en-GB"/>
              </w:rPr>
              <w:t>The ITSEF shall operate according to defined procedures that ensure that, where an ICT product undergoes a composite product evaluation, necessary including where needed sensitive information that is reused from the initial evaluation is provided to the ITSEF performing the composite evaluation. This information shall be shared in the form of an evaluation technical report (ETR) for composition, based on the template provided by ENISA.</w:t>
            </w:r>
          </w:p>
          <w:p w14:paraId="719AE291" w14:textId="77777777" w:rsidR="008C0A2E" w:rsidRPr="00F24712" w:rsidRDefault="008C0A2E" w:rsidP="006A7627">
            <w:pPr>
              <w:rPr>
                <w:rFonts w:cs="Arial"/>
                <w:iCs/>
                <w:szCs w:val="18"/>
                <w:lang w:val="en-GB"/>
              </w:rPr>
            </w:pPr>
            <w:r w:rsidRPr="00F24712">
              <w:rPr>
                <w:rFonts w:cs="Arial"/>
                <w:iCs/>
                <w:szCs w:val="18"/>
                <w:lang w:val="en-GB"/>
              </w:rPr>
              <w:t>The information sharing in the case of composite evaluation must take place in full cooperation between the CBs, i.e. the CB that has certified the base component and the one handling the composite evaluation.</w:t>
            </w:r>
          </w:p>
          <w:p w14:paraId="5DF2C0CC" w14:textId="77777777" w:rsidR="008C0A2E" w:rsidRPr="00F24712" w:rsidRDefault="008C0A2E" w:rsidP="006A7627">
            <w:pPr>
              <w:rPr>
                <w:rFonts w:cs="Arial"/>
                <w:iCs/>
                <w:szCs w:val="18"/>
                <w:lang w:val="en-GB"/>
              </w:rPr>
            </w:pPr>
            <w:r w:rsidRPr="00F24712">
              <w:rPr>
                <w:rFonts w:cs="Arial"/>
                <w:iCs/>
                <w:szCs w:val="18"/>
                <w:lang w:val="en-GB"/>
              </w:rPr>
              <w:t>Besides the relevant documentation which should be exchanged, there must exist a communication channel between all involved parties to clarify technical problems. All parties/bodies, esp. the ITSEF which is responsible for the composition ETR must support this approach.</w:t>
            </w:r>
          </w:p>
        </w:tc>
        <w:tc>
          <w:tcPr>
            <w:tcW w:w="1745" w:type="dxa"/>
            <w:shd w:val="clear" w:color="auto" w:fill="FFF2CC"/>
          </w:tcPr>
          <w:p w14:paraId="44DB3025" w14:textId="77777777" w:rsidR="0028051C" w:rsidRPr="00BA5C85" w:rsidRDefault="0028051C" w:rsidP="0028051C">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27D2D3B5"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5E109F8B"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3EC57AB4"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390111C0"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3051B896" w14:textId="77777777" w:rsidTr="009F7FD9">
        <w:tc>
          <w:tcPr>
            <w:tcW w:w="687" w:type="dxa"/>
          </w:tcPr>
          <w:p w14:paraId="5EB8CBA0" w14:textId="4A48ABC9" w:rsidR="0028051C" w:rsidRPr="00BA5C85" w:rsidRDefault="0028051C" w:rsidP="0028051C">
            <w:pPr>
              <w:spacing w:before="0" w:after="0"/>
              <w:rPr>
                <w:rFonts w:cs="Arial"/>
                <w:iCs/>
                <w:szCs w:val="18"/>
              </w:rPr>
            </w:pPr>
            <w:r>
              <w:rPr>
                <w:rFonts w:cs="Arial"/>
                <w:iCs/>
                <w:szCs w:val="18"/>
              </w:rPr>
              <w:t>6.2.1</w:t>
            </w:r>
            <w:r w:rsidR="00705B51">
              <w:rPr>
                <w:rFonts w:cs="Arial"/>
                <w:iCs/>
                <w:szCs w:val="18"/>
              </w:rPr>
              <w:t>3</w:t>
            </w:r>
          </w:p>
        </w:tc>
        <w:tc>
          <w:tcPr>
            <w:tcW w:w="5218" w:type="dxa"/>
          </w:tcPr>
          <w:p w14:paraId="7268991B" w14:textId="77777777" w:rsidR="0028051C" w:rsidRPr="00F24712" w:rsidRDefault="0028051C" w:rsidP="006A7627">
            <w:pPr>
              <w:spacing w:before="0" w:after="0"/>
              <w:rPr>
                <w:rFonts w:cs="Arial"/>
                <w:b/>
                <w:iCs/>
                <w:szCs w:val="18"/>
                <w:lang w:val="en-GB"/>
              </w:rPr>
            </w:pPr>
            <w:r w:rsidRPr="00F24712">
              <w:rPr>
                <w:rFonts w:cs="Arial"/>
                <w:b/>
                <w:iCs/>
                <w:szCs w:val="18"/>
                <w:lang w:val="en-GB"/>
              </w:rPr>
              <w:t>Monitoring compliance</w:t>
            </w:r>
          </w:p>
          <w:p w14:paraId="31C694CC" w14:textId="77777777" w:rsidR="008C0A2E" w:rsidRPr="00F24712" w:rsidRDefault="008C0A2E" w:rsidP="006A7627">
            <w:pPr>
              <w:spacing w:before="0" w:after="0"/>
              <w:rPr>
                <w:rFonts w:cs="Arial"/>
                <w:iCs/>
                <w:szCs w:val="18"/>
                <w:lang w:val="en-GB"/>
              </w:rPr>
            </w:pPr>
            <w:r w:rsidRPr="00F24712">
              <w:rPr>
                <w:rFonts w:cs="Arial"/>
                <w:iCs/>
                <w:szCs w:val="18"/>
                <w:lang w:val="en-GB"/>
              </w:rPr>
              <w:t>EUCC, “11. RULES FOR MONITORING COMPLIANCE”</w:t>
            </w:r>
          </w:p>
          <w:p w14:paraId="2A4736D8" w14:textId="77777777" w:rsidR="00280296" w:rsidRPr="00F24712" w:rsidRDefault="00280296" w:rsidP="006A7627">
            <w:pPr>
              <w:spacing w:before="0" w:after="0"/>
              <w:rPr>
                <w:rFonts w:cs="Arial"/>
                <w:iCs/>
                <w:szCs w:val="18"/>
                <w:lang w:val="en-GB"/>
              </w:rPr>
            </w:pPr>
          </w:p>
          <w:p w14:paraId="090FC30E" w14:textId="77777777" w:rsidR="008C0A2E" w:rsidRPr="00F24712" w:rsidRDefault="008C0A2E" w:rsidP="006A7627">
            <w:pPr>
              <w:rPr>
                <w:rFonts w:cs="Arial"/>
                <w:iCs/>
                <w:szCs w:val="18"/>
                <w:lang w:val="en-GB"/>
              </w:rPr>
            </w:pPr>
            <w:r w:rsidRPr="00F24712">
              <w:rPr>
                <w:rFonts w:cs="Arial"/>
                <w:iCs/>
                <w:szCs w:val="18"/>
                <w:lang w:val="en-GB"/>
              </w:rPr>
              <w:t>Monitoring compliance of certified ICT products with the requirements of the European cybersecurity certificates: Manufacturers, developers and any other holders of a cybersecurity certificate shall have procedures and processes in place that allow to demonstrate their continued compliance with the specified cybersecurity requirements under their certification.</w:t>
            </w:r>
          </w:p>
          <w:p w14:paraId="3CBAA79C" w14:textId="77777777" w:rsidR="008C0A2E" w:rsidRPr="00F24712" w:rsidRDefault="008C0A2E" w:rsidP="006A7627">
            <w:pPr>
              <w:rPr>
                <w:rFonts w:cs="Arial"/>
                <w:iCs/>
                <w:szCs w:val="18"/>
                <w:lang w:val="en-GB"/>
              </w:rPr>
            </w:pPr>
            <w:r w:rsidRPr="00F24712">
              <w:rPr>
                <w:rFonts w:cs="Arial"/>
                <w:iCs/>
                <w:szCs w:val="18"/>
                <w:lang w:val="en-GB"/>
              </w:rPr>
              <w:t>The CB must carry out an assessment of the criticality of the reported irregularities with the support of the ITSEF if necessary.</w:t>
            </w:r>
          </w:p>
          <w:p w14:paraId="5FBCD600" w14:textId="77777777" w:rsidR="005F213B" w:rsidRPr="00F24712" w:rsidRDefault="008C0A2E" w:rsidP="006A7627">
            <w:pPr>
              <w:rPr>
                <w:rFonts w:cs="Arial"/>
                <w:iCs/>
                <w:szCs w:val="18"/>
                <w:lang w:val="en-GB"/>
              </w:rPr>
            </w:pPr>
            <w:r w:rsidRPr="00F24712">
              <w:rPr>
                <w:rFonts w:cs="Arial"/>
                <w:iCs/>
                <w:szCs w:val="18"/>
                <w:lang w:val="en-GB"/>
              </w:rPr>
              <w:t>To support compliance monitoring, ITSEFs shall define a set of compliance monitoring processes that ensure that, for TOEs evaluated by the ITSEF:</w:t>
            </w:r>
          </w:p>
          <w:p w14:paraId="6A6A9F08" w14:textId="77777777" w:rsidR="005F213B" w:rsidRPr="00F24712" w:rsidRDefault="008C0A2E" w:rsidP="009E1426">
            <w:pPr>
              <w:pStyle w:val="Listenabsatz"/>
              <w:numPr>
                <w:ilvl w:val="0"/>
                <w:numId w:val="30"/>
              </w:numPr>
              <w:ind w:left="243" w:hanging="209"/>
              <w:rPr>
                <w:rFonts w:cs="Arial"/>
                <w:iCs/>
                <w:szCs w:val="18"/>
                <w:lang w:val="en-GB"/>
              </w:rPr>
            </w:pPr>
            <w:r w:rsidRPr="00F24712">
              <w:rPr>
                <w:rFonts w:cs="Arial"/>
                <w:iCs/>
                <w:szCs w:val="18"/>
                <w:lang w:val="en-GB"/>
              </w:rPr>
              <w:t>They carry out an active cybersecurity-oriented technology watch, and keep themselves informed and continuously updated on the main discovered vulnerabilities and attack techniques relevant to their scope of assessment,</w:t>
            </w:r>
          </w:p>
          <w:p w14:paraId="1763D85D" w14:textId="77777777" w:rsidR="005F213B" w:rsidRPr="00F24712" w:rsidRDefault="008C0A2E" w:rsidP="009E1426">
            <w:pPr>
              <w:pStyle w:val="Listenabsatz"/>
              <w:numPr>
                <w:ilvl w:val="0"/>
                <w:numId w:val="30"/>
              </w:numPr>
              <w:ind w:left="243" w:hanging="209"/>
              <w:rPr>
                <w:rFonts w:cs="Arial"/>
                <w:iCs/>
                <w:szCs w:val="18"/>
                <w:lang w:val="en-GB"/>
              </w:rPr>
            </w:pPr>
            <w:r w:rsidRPr="00F24712">
              <w:rPr>
                <w:rFonts w:cs="Arial"/>
                <w:iCs/>
                <w:szCs w:val="18"/>
                <w:lang w:val="en-GB"/>
              </w:rPr>
              <w:t>They systematically carry out a search for publicly known vulnerabilities in connection with the products being assessed,</w:t>
            </w:r>
          </w:p>
          <w:p w14:paraId="6C70352F" w14:textId="77777777" w:rsidR="005F213B" w:rsidRPr="00F24712" w:rsidRDefault="008C0A2E" w:rsidP="009E1426">
            <w:pPr>
              <w:pStyle w:val="Listenabsatz"/>
              <w:numPr>
                <w:ilvl w:val="0"/>
                <w:numId w:val="30"/>
              </w:numPr>
              <w:ind w:left="243" w:hanging="209"/>
              <w:rPr>
                <w:rFonts w:cs="Arial"/>
                <w:iCs/>
                <w:szCs w:val="18"/>
                <w:lang w:val="en-GB"/>
              </w:rPr>
            </w:pPr>
            <w:r w:rsidRPr="00F24712">
              <w:rPr>
                <w:rFonts w:cs="Arial"/>
                <w:iCs/>
                <w:szCs w:val="18"/>
                <w:lang w:val="en-GB"/>
              </w:rPr>
              <w:t>They report to their CB any vulnerability they are aware of that affects the compliance of a certified ICT product with the certification requirements, in accordance with the provisions of the EUCC scheme,</w:t>
            </w:r>
          </w:p>
          <w:p w14:paraId="27B53E44" w14:textId="77777777" w:rsidR="008C0A2E" w:rsidRPr="00F24712" w:rsidRDefault="008C0A2E" w:rsidP="009E1426">
            <w:pPr>
              <w:pStyle w:val="Listenabsatz"/>
              <w:numPr>
                <w:ilvl w:val="0"/>
                <w:numId w:val="30"/>
              </w:numPr>
              <w:ind w:left="243" w:hanging="209"/>
              <w:rPr>
                <w:rFonts w:cs="Arial"/>
                <w:iCs/>
                <w:szCs w:val="18"/>
                <w:lang w:val="en-GB"/>
              </w:rPr>
            </w:pPr>
            <w:r w:rsidRPr="00F24712">
              <w:rPr>
                <w:rFonts w:cs="Arial"/>
                <w:iCs/>
                <w:szCs w:val="18"/>
                <w:lang w:val="en-GB"/>
              </w:rPr>
              <w:lastRenderedPageBreak/>
              <w:t>They support the CB, and upon request the NCCA, in the implementation of their compliance monitoring obligations and processes.</w:t>
            </w:r>
          </w:p>
          <w:p w14:paraId="6F2289A5" w14:textId="77777777" w:rsidR="008C0A2E" w:rsidRPr="00F24712" w:rsidRDefault="008C0A2E" w:rsidP="006A7627">
            <w:pPr>
              <w:rPr>
                <w:rFonts w:cs="Arial"/>
                <w:iCs/>
                <w:szCs w:val="18"/>
                <w:lang w:val="en-GB"/>
              </w:rPr>
            </w:pPr>
            <w:r w:rsidRPr="00F24712">
              <w:rPr>
                <w:rFonts w:cs="Arial"/>
                <w:iCs/>
                <w:szCs w:val="18"/>
                <w:lang w:val="en-GB"/>
              </w:rPr>
              <w:t>The ITSEF of a certified ICT product shall be involved by the NCCA in monitoring activities, where the NCCA deems it necessary.</w:t>
            </w:r>
          </w:p>
          <w:p w14:paraId="1B078212" w14:textId="77777777" w:rsidR="008C0A2E" w:rsidRPr="00F24712" w:rsidRDefault="008C0A2E" w:rsidP="006A7627">
            <w:pPr>
              <w:rPr>
                <w:rFonts w:cs="Arial"/>
                <w:iCs/>
                <w:szCs w:val="18"/>
                <w:lang w:val="en-GB"/>
              </w:rPr>
            </w:pPr>
            <w:r w:rsidRPr="00F24712">
              <w:rPr>
                <w:rFonts w:cs="Arial"/>
                <w:iCs/>
                <w:szCs w:val="18"/>
                <w:lang w:val="en-GB"/>
              </w:rPr>
              <w:t>The monitoring activity may under circumstances consist, among other things, in the re-assessment of the ICT product by the ITSEF upon request of the CB, accompanied - if necessary - by an audit subject to the monitoring activities (for example compliance of the complaints procedure, events of a security</w:t>
            </w:r>
            <w:r w:rsidR="00695DED" w:rsidRPr="00F24712">
              <w:rPr>
                <w:rFonts w:cs="Arial"/>
                <w:iCs/>
                <w:szCs w:val="18"/>
                <w:lang w:val="en-GB"/>
              </w:rPr>
              <w:t xml:space="preserve"> incident, …</w:t>
            </w:r>
            <w:r w:rsidRPr="00F24712">
              <w:rPr>
                <w:rFonts w:cs="Arial"/>
                <w:iCs/>
                <w:szCs w:val="18"/>
                <w:lang w:val="en-GB"/>
              </w:rPr>
              <w:t>).</w:t>
            </w:r>
          </w:p>
        </w:tc>
        <w:tc>
          <w:tcPr>
            <w:tcW w:w="1745" w:type="dxa"/>
            <w:shd w:val="clear" w:color="auto" w:fill="FFF2CC"/>
          </w:tcPr>
          <w:p w14:paraId="0A159B39" w14:textId="77777777" w:rsidR="0028051C" w:rsidRPr="00BA5C85" w:rsidRDefault="0028051C" w:rsidP="0028051C">
            <w:pPr>
              <w:spacing w:before="0" w:after="0"/>
              <w:rPr>
                <w:rFonts w:cs="Arial"/>
                <w:iCs/>
                <w:noProof/>
                <w:sz w:val="18"/>
                <w:szCs w:val="18"/>
              </w:rPr>
            </w:pPr>
            <w:r w:rsidRPr="00BA5C85">
              <w:rPr>
                <w:rFonts w:cs="Arial"/>
                <w:iCs/>
                <w:noProof/>
                <w:sz w:val="18"/>
                <w:szCs w:val="18"/>
              </w:rPr>
              <w:lastRenderedPageBreak/>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79F09366"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D53AB04"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DD46EC7"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49AA9638"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7E13F79A" w14:textId="77777777" w:rsidTr="009F7FD9">
        <w:tc>
          <w:tcPr>
            <w:tcW w:w="687" w:type="dxa"/>
          </w:tcPr>
          <w:p w14:paraId="4A232EF4" w14:textId="60F31B14" w:rsidR="0028051C" w:rsidRPr="00BA5C85" w:rsidRDefault="0028051C" w:rsidP="0028051C">
            <w:pPr>
              <w:spacing w:before="0" w:after="0"/>
              <w:rPr>
                <w:rFonts w:cs="Arial"/>
                <w:iCs/>
                <w:szCs w:val="18"/>
              </w:rPr>
            </w:pPr>
            <w:r>
              <w:rPr>
                <w:rFonts w:cs="Arial"/>
                <w:iCs/>
                <w:szCs w:val="18"/>
              </w:rPr>
              <w:t>6.2.1</w:t>
            </w:r>
            <w:r w:rsidR="00705B51">
              <w:rPr>
                <w:rFonts w:cs="Arial"/>
                <w:iCs/>
                <w:szCs w:val="18"/>
              </w:rPr>
              <w:t>4</w:t>
            </w:r>
          </w:p>
        </w:tc>
        <w:tc>
          <w:tcPr>
            <w:tcW w:w="5218" w:type="dxa"/>
          </w:tcPr>
          <w:p w14:paraId="42CD2606" w14:textId="77777777" w:rsidR="0028051C" w:rsidRPr="00F24712" w:rsidRDefault="0028051C" w:rsidP="0028051C">
            <w:pPr>
              <w:spacing w:before="0" w:after="0"/>
              <w:rPr>
                <w:rFonts w:cs="Arial"/>
                <w:b/>
                <w:iCs/>
                <w:szCs w:val="18"/>
                <w:lang w:val="en-GB"/>
              </w:rPr>
            </w:pPr>
            <w:r w:rsidRPr="00F24712">
              <w:rPr>
                <w:rFonts w:cs="Arial"/>
                <w:b/>
                <w:iCs/>
                <w:szCs w:val="18"/>
                <w:lang w:val="en-GB"/>
              </w:rPr>
              <w:t>Patch Management</w:t>
            </w:r>
          </w:p>
          <w:p w14:paraId="533896C9" w14:textId="77777777" w:rsidR="008C0A2E" w:rsidRPr="00F24712" w:rsidRDefault="008C0A2E" w:rsidP="008C0A2E">
            <w:pPr>
              <w:spacing w:before="0" w:after="0"/>
              <w:rPr>
                <w:rFonts w:cs="Arial"/>
                <w:iCs/>
                <w:szCs w:val="18"/>
                <w:lang w:val="en-GB"/>
              </w:rPr>
            </w:pPr>
            <w:r w:rsidRPr="00F24712">
              <w:rPr>
                <w:rFonts w:cs="Arial"/>
                <w:iCs/>
                <w:szCs w:val="18"/>
                <w:lang w:val="en-GB"/>
              </w:rPr>
              <w:t>EUCC, “12. CONDITIONS FOR ISSUING, MAINTAINING, CONTINUING AND RENEWING CERTIFICATES”</w:t>
            </w:r>
          </w:p>
          <w:p w14:paraId="3CFD785C" w14:textId="77777777" w:rsidR="008C0A2E" w:rsidRPr="00F24712" w:rsidRDefault="008C0A2E" w:rsidP="008C0A2E">
            <w:pPr>
              <w:spacing w:before="0" w:after="0"/>
              <w:rPr>
                <w:rFonts w:cs="Arial"/>
                <w:iCs/>
                <w:szCs w:val="18"/>
                <w:lang w:val="en-GB"/>
              </w:rPr>
            </w:pPr>
            <w:r w:rsidRPr="00F24712">
              <w:rPr>
                <w:rFonts w:cs="Arial"/>
                <w:iCs/>
                <w:szCs w:val="18"/>
                <w:lang w:val="en-GB"/>
              </w:rPr>
              <w:t>EUCC, “41. ANNEX 15: PATCH MANAGEMENT”</w:t>
            </w:r>
          </w:p>
          <w:p w14:paraId="62FF2501" w14:textId="77777777" w:rsidR="00280296" w:rsidRPr="00F24712" w:rsidRDefault="00280296" w:rsidP="008C0A2E">
            <w:pPr>
              <w:spacing w:before="0" w:after="0"/>
              <w:rPr>
                <w:rFonts w:cs="Arial"/>
                <w:iCs/>
                <w:szCs w:val="18"/>
                <w:lang w:val="en-GB"/>
              </w:rPr>
            </w:pPr>
          </w:p>
          <w:p w14:paraId="713B916B" w14:textId="77777777" w:rsidR="008C0A2E" w:rsidRPr="00F24712" w:rsidRDefault="008C0A2E" w:rsidP="006A7627">
            <w:pPr>
              <w:rPr>
                <w:rFonts w:cs="Arial"/>
                <w:iCs/>
                <w:szCs w:val="18"/>
                <w:lang w:val="en-GB"/>
              </w:rPr>
            </w:pPr>
            <w:r w:rsidRPr="00F24712">
              <w:rPr>
                <w:rFonts w:cs="Arial"/>
                <w:iCs/>
                <w:szCs w:val="18"/>
                <w:lang w:val="en-GB"/>
              </w:rPr>
              <w:t>Among the evaluation services related to ICT product certification that the ITSEF provides, patch management may be included upon request by the applicant. Patch management is associated to vulnerability handling and may also be used for the maintenance activities of certificates.</w:t>
            </w:r>
          </w:p>
          <w:p w14:paraId="1546B1F5" w14:textId="77777777" w:rsidR="008C0A2E" w:rsidRPr="00F24712" w:rsidRDefault="008C0A2E" w:rsidP="008C0A2E">
            <w:pPr>
              <w:spacing w:before="0" w:after="0"/>
              <w:rPr>
                <w:rFonts w:cs="Arial"/>
                <w:iCs/>
                <w:szCs w:val="18"/>
                <w:lang w:val="en-GB"/>
              </w:rPr>
            </w:pPr>
            <w:r w:rsidRPr="00F24712">
              <w:rPr>
                <w:rFonts w:cs="Arial"/>
                <w:iCs/>
                <w:szCs w:val="18"/>
                <w:lang w:val="en-GB"/>
              </w:rPr>
              <w:t>The ITSEF shall provide such services based on defined procedures and methods that ensure their conformity with the requirements laid out for ITSEFs in Annex II Article II.4 of the EUCC Regulation.</w:t>
            </w:r>
          </w:p>
        </w:tc>
        <w:tc>
          <w:tcPr>
            <w:tcW w:w="1745" w:type="dxa"/>
            <w:shd w:val="clear" w:color="auto" w:fill="FFF2CC"/>
          </w:tcPr>
          <w:p w14:paraId="5425AFB0" w14:textId="77777777" w:rsidR="0028051C" w:rsidRPr="00BA5C85" w:rsidRDefault="0028051C" w:rsidP="0028051C">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44D1C8CE"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3F1166D2"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9A253EB"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037A18BF"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759B75AC" w14:textId="77777777" w:rsidTr="009F7FD9">
        <w:tc>
          <w:tcPr>
            <w:tcW w:w="687" w:type="dxa"/>
          </w:tcPr>
          <w:p w14:paraId="5F0ED331" w14:textId="77777777" w:rsidR="0028051C" w:rsidRPr="006F2A96" w:rsidRDefault="005502D2" w:rsidP="0028051C">
            <w:pPr>
              <w:spacing w:before="0" w:after="0"/>
              <w:rPr>
                <w:rFonts w:cs="Arial"/>
                <w:b/>
                <w:iCs/>
                <w:szCs w:val="18"/>
              </w:rPr>
            </w:pPr>
            <w:r>
              <w:rPr>
                <w:rFonts w:cs="Arial"/>
                <w:b/>
                <w:iCs/>
                <w:noProof/>
                <w:color w:val="0000CC"/>
              </w:rPr>
              <w:t>Teil IIb</w:t>
            </w:r>
          </w:p>
        </w:tc>
        <w:tc>
          <w:tcPr>
            <w:tcW w:w="8947" w:type="dxa"/>
            <w:gridSpan w:val="6"/>
          </w:tcPr>
          <w:p w14:paraId="56C8EF91" w14:textId="77777777" w:rsidR="0028051C" w:rsidRPr="00695DED" w:rsidRDefault="0028051C" w:rsidP="0028051C">
            <w:pPr>
              <w:spacing w:before="0" w:after="0"/>
              <w:rPr>
                <w:rFonts w:cs="Arial"/>
                <w:b/>
                <w:iCs/>
                <w:noProof/>
                <w:color w:val="0000CC"/>
              </w:rPr>
            </w:pPr>
            <w:r w:rsidRPr="00695DED">
              <w:rPr>
                <w:rFonts w:cs="Arial"/>
                <w:b/>
                <w:iCs/>
                <w:noProof/>
                <w:color w:val="0000CC"/>
              </w:rPr>
              <w:t>Zusatzanforderungen an Zertifizierungsstellen</w:t>
            </w:r>
          </w:p>
        </w:tc>
      </w:tr>
      <w:tr w:rsidR="00705B51" w:rsidRPr="009B26A0" w14:paraId="14BDBCCE" w14:textId="77777777" w:rsidTr="009F7FD9">
        <w:tc>
          <w:tcPr>
            <w:tcW w:w="687" w:type="dxa"/>
          </w:tcPr>
          <w:p w14:paraId="3FB2C6F3" w14:textId="6364FF7F" w:rsidR="00705B51" w:rsidRDefault="00705B51" w:rsidP="0028051C">
            <w:pPr>
              <w:spacing w:before="0" w:after="0"/>
              <w:rPr>
                <w:rFonts w:cs="Arial"/>
                <w:iCs/>
                <w:szCs w:val="18"/>
              </w:rPr>
            </w:pPr>
            <w:r>
              <w:rPr>
                <w:rFonts w:cs="Arial"/>
                <w:iCs/>
                <w:szCs w:val="18"/>
              </w:rPr>
              <w:t>8.2.1</w:t>
            </w:r>
          </w:p>
        </w:tc>
        <w:tc>
          <w:tcPr>
            <w:tcW w:w="5218" w:type="dxa"/>
          </w:tcPr>
          <w:p w14:paraId="1E17A15A" w14:textId="77777777" w:rsidR="00705B51" w:rsidRDefault="00705B51" w:rsidP="006764CA">
            <w:pPr>
              <w:spacing w:before="0" w:after="0"/>
              <w:rPr>
                <w:rFonts w:cs="Arial"/>
                <w:b/>
                <w:iCs/>
                <w:szCs w:val="18"/>
                <w:lang w:val="en-GB"/>
              </w:rPr>
            </w:pPr>
            <w:r>
              <w:rPr>
                <w:rFonts w:cs="Arial"/>
                <w:b/>
                <w:iCs/>
                <w:szCs w:val="18"/>
                <w:lang w:val="en-GB"/>
              </w:rPr>
              <w:t>Independence</w:t>
            </w:r>
          </w:p>
          <w:p w14:paraId="1E4A7450" w14:textId="77777777" w:rsidR="00705B51" w:rsidRPr="006C2297" w:rsidRDefault="00705B51" w:rsidP="00705B51">
            <w:pPr>
              <w:spacing w:before="0" w:after="0"/>
              <w:rPr>
                <w:rFonts w:cs="Arial"/>
                <w:iCs/>
                <w:szCs w:val="18"/>
                <w:lang w:val="en-GB"/>
              </w:rPr>
            </w:pPr>
            <w:r w:rsidRPr="006C2297">
              <w:rPr>
                <w:rFonts w:cs="Arial"/>
                <w:iCs/>
                <w:szCs w:val="18"/>
                <w:lang w:val="en-GB"/>
              </w:rPr>
              <w:t>The independence criteria from CSA Annex point 2 shall apply to the ICT product, ICT process, ICT service under evaluation.</w:t>
            </w:r>
          </w:p>
          <w:p w14:paraId="48872A2C" w14:textId="295CEE04" w:rsidR="00705B51" w:rsidRPr="00F24712" w:rsidRDefault="00705B51" w:rsidP="00705B51">
            <w:pPr>
              <w:spacing w:before="0" w:after="0"/>
              <w:rPr>
                <w:rFonts w:cs="Arial"/>
                <w:b/>
                <w:iCs/>
                <w:szCs w:val="18"/>
                <w:lang w:val="en-GB"/>
              </w:rPr>
            </w:pPr>
            <w:r w:rsidRPr="006C2297">
              <w:rPr>
                <w:rFonts w:cs="Arial"/>
                <w:iCs/>
                <w:szCs w:val="18"/>
                <w:lang w:val="en-GB"/>
              </w:rPr>
              <w:t>The CB shall inform its clients of any activity of its legal entity including being a designer, manufacturer, supplier, installer, purchaser, owner, user or maintainer of the ICT product, ICT service or ICT process that might be related to the type of products of the clients.</w:t>
            </w:r>
          </w:p>
        </w:tc>
        <w:tc>
          <w:tcPr>
            <w:tcW w:w="1745" w:type="dxa"/>
            <w:shd w:val="clear" w:color="auto" w:fill="FFF2CC"/>
          </w:tcPr>
          <w:p w14:paraId="0469C848" w14:textId="7443E8AA" w:rsidR="00705B51" w:rsidRPr="009B26A0" w:rsidRDefault="009B26A0" w:rsidP="0028051C">
            <w:pPr>
              <w:spacing w:before="0" w:after="0"/>
              <w:rPr>
                <w:rFonts w:cs="Arial"/>
                <w:iCs/>
                <w:noProof/>
                <w:sz w:val="18"/>
                <w:szCs w:val="18"/>
                <w:lang w:val="en-GB"/>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69353404" w14:textId="77777777" w:rsidR="00705B51" w:rsidRPr="009B26A0" w:rsidRDefault="00705B51" w:rsidP="0028051C">
            <w:pPr>
              <w:keepNext/>
              <w:keepLines/>
              <w:spacing w:before="0" w:after="0"/>
              <w:jc w:val="center"/>
              <w:rPr>
                <w:rFonts w:cs="Arial"/>
                <w:bCs/>
                <w:sz w:val="18"/>
                <w:szCs w:val="18"/>
                <w:lang w:val="en-GB"/>
              </w:rPr>
            </w:pPr>
          </w:p>
        </w:tc>
        <w:tc>
          <w:tcPr>
            <w:tcW w:w="473" w:type="dxa"/>
            <w:shd w:val="clear" w:color="auto" w:fill="FFF2CC"/>
          </w:tcPr>
          <w:p w14:paraId="391970B2" w14:textId="77777777" w:rsidR="00705B51" w:rsidRPr="009B26A0" w:rsidRDefault="00705B51" w:rsidP="0028051C">
            <w:pPr>
              <w:keepNext/>
              <w:keepLines/>
              <w:spacing w:before="0" w:after="0"/>
              <w:jc w:val="center"/>
              <w:rPr>
                <w:rFonts w:cs="Arial"/>
                <w:bCs/>
                <w:sz w:val="18"/>
                <w:szCs w:val="18"/>
                <w:lang w:val="en-GB"/>
              </w:rPr>
            </w:pPr>
          </w:p>
        </w:tc>
        <w:tc>
          <w:tcPr>
            <w:tcW w:w="473" w:type="dxa"/>
            <w:shd w:val="clear" w:color="auto" w:fill="FFF2CC"/>
          </w:tcPr>
          <w:p w14:paraId="20051E14" w14:textId="77777777" w:rsidR="00705B51" w:rsidRPr="009B26A0" w:rsidRDefault="00705B51" w:rsidP="0028051C">
            <w:pPr>
              <w:keepNext/>
              <w:keepLines/>
              <w:spacing w:before="0" w:after="0"/>
              <w:jc w:val="center"/>
              <w:rPr>
                <w:rFonts w:cs="Arial"/>
                <w:bCs/>
                <w:sz w:val="18"/>
                <w:szCs w:val="18"/>
                <w:lang w:val="en-GB"/>
              </w:rPr>
            </w:pPr>
          </w:p>
        </w:tc>
        <w:tc>
          <w:tcPr>
            <w:tcW w:w="566" w:type="dxa"/>
            <w:shd w:val="clear" w:color="auto" w:fill="FFF2CC"/>
          </w:tcPr>
          <w:p w14:paraId="7F5FAEB1" w14:textId="77777777" w:rsidR="00705B51" w:rsidRPr="009B26A0" w:rsidRDefault="00705B51" w:rsidP="0028051C">
            <w:pPr>
              <w:spacing w:before="0" w:after="0"/>
              <w:jc w:val="center"/>
              <w:rPr>
                <w:rFonts w:cs="Arial"/>
                <w:iCs/>
                <w:noProof/>
                <w:sz w:val="18"/>
                <w:szCs w:val="18"/>
                <w:lang w:val="en-GB"/>
              </w:rPr>
            </w:pPr>
          </w:p>
        </w:tc>
      </w:tr>
      <w:tr w:rsidR="0028051C" w:rsidRPr="00BA5C85" w14:paraId="61B84006" w14:textId="77777777" w:rsidTr="009F7FD9">
        <w:tc>
          <w:tcPr>
            <w:tcW w:w="687" w:type="dxa"/>
          </w:tcPr>
          <w:p w14:paraId="67FE4C2E" w14:textId="0C477DE9" w:rsidR="0028051C" w:rsidRPr="00BA5C85" w:rsidRDefault="006F2A96" w:rsidP="0028051C">
            <w:pPr>
              <w:spacing w:before="0" w:after="0"/>
              <w:rPr>
                <w:rFonts w:cs="Arial"/>
                <w:iCs/>
                <w:szCs w:val="18"/>
              </w:rPr>
            </w:pPr>
            <w:r>
              <w:rPr>
                <w:rFonts w:cs="Arial"/>
                <w:iCs/>
                <w:szCs w:val="18"/>
              </w:rPr>
              <w:t>8.2</w:t>
            </w:r>
            <w:r w:rsidR="00705B51">
              <w:rPr>
                <w:rFonts w:cs="Arial"/>
                <w:iCs/>
                <w:szCs w:val="18"/>
              </w:rPr>
              <w:t>.2</w:t>
            </w:r>
          </w:p>
        </w:tc>
        <w:tc>
          <w:tcPr>
            <w:tcW w:w="5218" w:type="dxa"/>
          </w:tcPr>
          <w:p w14:paraId="21BD74ED" w14:textId="77777777" w:rsidR="006764CA" w:rsidRPr="00F24712" w:rsidRDefault="006764CA" w:rsidP="006764CA">
            <w:pPr>
              <w:spacing w:before="0" w:after="0"/>
              <w:rPr>
                <w:rFonts w:cs="Arial"/>
                <w:b/>
                <w:iCs/>
                <w:szCs w:val="18"/>
                <w:lang w:val="en-GB"/>
              </w:rPr>
            </w:pPr>
            <w:r w:rsidRPr="00F24712">
              <w:rPr>
                <w:rFonts w:cs="Arial"/>
                <w:b/>
                <w:iCs/>
                <w:szCs w:val="18"/>
                <w:lang w:val="en-GB"/>
              </w:rPr>
              <w:t>Certification body personnel</w:t>
            </w:r>
          </w:p>
          <w:p w14:paraId="7C3B775E" w14:textId="77777777" w:rsidR="006764CA" w:rsidRPr="00F24712" w:rsidRDefault="006764CA" w:rsidP="006764CA">
            <w:pPr>
              <w:spacing w:before="0" w:after="0"/>
              <w:rPr>
                <w:rFonts w:cs="Arial"/>
                <w:iCs/>
                <w:szCs w:val="18"/>
                <w:lang w:val="en-GB"/>
              </w:rPr>
            </w:pPr>
            <w:r w:rsidRPr="00F24712">
              <w:rPr>
                <w:rFonts w:cs="Arial"/>
                <w:iCs/>
                <w:szCs w:val="18"/>
                <w:lang w:val="en-GB"/>
              </w:rPr>
              <w:t>[ISO/IEC 17065:2012], 6.1 Certification body personnel</w:t>
            </w:r>
          </w:p>
          <w:p w14:paraId="105F5819" w14:textId="77777777" w:rsidR="006764CA" w:rsidRPr="00F24712" w:rsidRDefault="006764CA" w:rsidP="006764CA">
            <w:pPr>
              <w:spacing w:before="0" w:after="0"/>
              <w:rPr>
                <w:rFonts w:cs="Arial"/>
                <w:iCs/>
                <w:szCs w:val="18"/>
                <w:lang w:val="en-GB"/>
              </w:rPr>
            </w:pPr>
            <w:r w:rsidRPr="00F24712">
              <w:rPr>
                <w:rFonts w:cs="Arial"/>
                <w:iCs/>
                <w:szCs w:val="18"/>
                <w:lang w:val="en-GB"/>
              </w:rPr>
              <w:t>[ISO/IEC 17065:2012], 6.1.2 Management of competence for personnel involved in the certification process</w:t>
            </w:r>
          </w:p>
          <w:p w14:paraId="34C36FCE" w14:textId="77777777" w:rsidR="00280296" w:rsidRPr="00F24712" w:rsidRDefault="00280296" w:rsidP="006764CA">
            <w:pPr>
              <w:spacing w:before="0" w:after="0"/>
              <w:rPr>
                <w:rFonts w:cs="Arial"/>
                <w:iCs/>
                <w:szCs w:val="18"/>
                <w:lang w:val="en-GB"/>
              </w:rPr>
            </w:pPr>
          </w:p>
          <w:p w14:paraId="48A4F891" w14:textId="77777777" w:rsidR="005F213B" w:rsidRPr="00F24712" w:rsidRDefault="006764CA" w:rsidP="006764CA">
            <w:pPr>
              <w:spacing w:before="0" w:after="0"/>
              <w:rPr>
                <w:rFonts w:cs="Arial"/>
                <w:iCs/>
                <w:szCs w:val="18"/>
                <w:lang w:val="en-GB"/>
              </w:rPr>
            </w:pPr>
            <w:r w:rsidRPr="00F24712">
              <w:rPr>
                <w:rFonts w:cs="Arial"/>
                <w:iCs/>
                <w:szCs w:val="18"/>
                <w:lang w:val="en-GB"/>
              </w:rPr>
              <w:t>The CB shall establish, implement and maintain a procedure for management of competencies of certifiers where:</w:t>
            </w:r>
          </w:p>
          <w:p w14:paraId="7BE0BE7F" w14:textId="77777777" w:rsidR="005F213B" w:rsidRPr="00F24712" w:rsidRDefault="006764CA" w:rsidP="00D003A5">
            <w:pPr>
              <w:pStyle w:val="Listenabsatz"/>
              <w:numPr>
                <w:ilvl w:val="0"/>
                <w:numId w:val="30"/>
              </w:numPr>
              <w:spacing w:before="0" w:after="0"/>
              <w:ind w:left="272" w:hanging="238"/>
              <w:contextualSpacing w:val="0"/>
              <w:rPr>
                <w:rFonts w:cs="Arial"/>
                <w:iCs/>
                <w:szCs w:val="18"/>
                <w:lang w:val="en-GB"/>
              </w:rPr>
            </w:pPr>
            <w:r w:rsidRPr="00F24712">
              <w:rPr>
                <w:rFonts w:cs="Arial"/>
                <w:iCs/>
                <w:szCs w:val="18"/>
                <w:lang w:val="en-GB"/>
              </w:rPr>
              <w:t>The elements of competence, competency levels, knowledge, skills, experience and education shall comply with the specific requirements for certifiers brought by the revision of ISO/IEC 19896, once available;</w:t>
            </w:r>
          </w:p>
          <w:p w14:paraId="77F8F695" w14:textId="77777777" w:rsidR="006764CA" w:rsidRPr="00F24712" w:rsidRDefault="006764CA" w:rsidP="00D003A5">
            <w:pPr>
              <w:pStyle w:val="Listenabsatz"/>
              <w:numPr>
                <w:ilvl w:val="0"/>
                <w:numId w:val="30"/>
              </w:numPr>
              <w:spacing w:before="0" w:after="0"/>
              <w:ind w:left="272" w:hanging="238"/>
              <w:contextualSpacing w:val="0"/>
              <w:rPr>
                <w:rFonts w:cs="Arial"/>
                <w:iCs/>
                <w:szCs w:val="18"/>
                <w:lang w:val="en-GB"/>
              </w:rPr>
            </w:pPr>
            <w:r w:rsidRPr="00F24712">
              <w:rPr>
                <w:rFonts w:cs="Arial"/>
                <w:iCs/>
                <w:szCs w:val="18"/>
                <w:lang w:val="en-GB"/>
              </w:rPr>
              <w:lastRenderedPageBreak/>
              <w:t>The knowledge required for certifying specific technologies and exercising different evaluation technique types are to be specified by the CB using the classification provided in Annex I, Technology and evaluation technique types.</w:t>
            </w:r>
          </w:p>
          <w:p w14:paraId="34B6AB66" w14:textId="77777777" w:rsidR="00D003A5" w:rsidRDefault="00D003A5" w:rsidP="006764CA">
            <w:pPr>
              <w:spacing w:before="0" w:after="0"/>
              <w:rPr>
                <w:rFonts w:cs="Arial"/>
                <w:iCs/>
                <w:szCs w:val="18"/>
                <w:lang w:val="en-GB"/>
              </w:rPr>
            </w:pPr>
          </w:p>
          <w:p w14:paraId="2518BA6D" w14:textId="11DBB4E0" w:rsidR="0028051C" w:rsidRPr="00F24712" w:rsidRDefault="006764CA" w:rsidP="006764CA">
            <w:pPr>
              <w:spacing w:before="0" w:after="0"/>
              <w:rPr>
                <w:rFonts w:cs="Arial"/>
                <w:iCs/>
                <w:szCs w:val="18"/>
                <w:lang w:val="en-GB"/>
              </w:rPr>
            </w:pPr>
            <w:r w:rsidRPr="00F24712">
              <w:rPr>
                <w:rFonts w:cs="Arial"/>
                <w:iCs/>
                <w:szCs w:val="18"/>
                <w:lang w:val="en-GB"/>
              </w:rPr>
              <w:t>The CB may use other classification criteria, as long as it can be mapped to the one provided in Annex I, Technology and evaluation technique types. Such mapping, and the supporting rationale, shall be made available to the NABs and NCCA.</w:t>
            </w:r>
          </w:p>
        </w:tc>
        <w:tc>
          <w:tcPr>
            <w:tcW w:w="1745" w:type="dxa"/>
            <w:shd w:val="clear" w:color="auto" w:fill="FFF2CC"/>
          </w:tcPr>
          <w:p w14:paraId="40B4AAA9" w14:textId="77777777" w:rsidR="0028051C" w:rsidRPr="00BA5C85" w:rsidRDefault="0028051C" w:rsidP="0028051C">
            <w:pPr>
              <w:spacing w:before="0" w:after="0"/>
              <w:rPr>
                <w:rFonts w:cs="Arial"/>
                <w:iCs/>
                <w:noProof/>
                <w:sz w:val="18"/>
                <w:szCs w:val="18"/>
              </w:rPr>
            </w:pPr>
            <w:r w:rsidRPr="00BA5C85">
              <w:rPr>
                <w:rFonts w:cs="Arial"/>
                <w:iCs/>
                <w:noProof/>
                <w:sz w:val="18"/>
                <w:szCs w:val="18"/>
              </w:rPr>
              <w:lastRenderedPageBreak/>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6E03DEAC"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5825F0D"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5854539"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34BD6AD5"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28051C" w:rsidRPr="00BA5C85" w14:paraId="5C249949" w14:textId="77777777" w:rsidTr="009F7FD9">
        <w:tc>
          <w:tcPr>
            <w:tcW w:w="687" w:type="dxa"/>
          </w:tcPr>
          <w:p w14:paraId="747D0D6E" w14:textId="3BE87A2D" w:rsidR="0028051C" w:rsidRPr="00BA5C85" w:rsidRDefault="006F2A96" w:rsidP="0028051C">
            <w:pPr>
              <w:spacing w:before="0" w:after="0"/>
              <w:rPr>
                <w:rFonts w:cs="Arial"/>
                <w:iCs/>
                <w:szCs w:val="18"/>
              </w:rPr>
            </w:pPr>
            <w:r>
              <w:rPr>
                <w:rFonts w:cs="Arial"/>
                <w:iCs/>
                <w:szCs w:val="18"/>
              </w:rPr>
              <w:t>8.2</w:t>
            </w:r>
            <w:r w:rsidR="00705B51">
              <w:rPr>
                <w:rFonts w:cs="Arial"/>
                <w:iCs/>
                <w:szCs w:val="18"/>
              </w:rPr>
              <w:t>.3</w:t>
            </w:r>
          </w:p>
        </w:tc>
        <w:tc>
          <w:tcPr>
            <w:tcW w:w="5218" w:type="dxa"/>
          </w:tcPr>
          <w:p w14:paraId="7C791A56" w14:textId="77777777" w:rsidR="006F2A96" w:rsidRPr="00F24712" w:rsidRDefault="006F2A96" w:rsidP="004376C0">
            <w:pPr>
              <w:spacing w:before="0" w:after="0"/>
              <w:rPr>
                <w:rFonts w:cs="Arial"/>
                <w:b/>
                <w:iCs/>
                <w:szCs w:val="18"/>
                <w:lang w:val="en-GB"/>
              </w:rPr>
            </w:pPr>
            <w:r w:rsidRPr="00F24712">
              <w:rPr>
                <w:rFonts w:cs="Arial"/>
                <w:b/>
                <w:iCs/>
                <w:szCs w:val="18"/>
                <w:lang w:val="en-GB"/>
              </w:rPr>
              <w:t>Resources for evaluation</w:t>
            </w:r>
          </w:p>
          <w:p w14:paraId="4CF44C4E" w14:textId="77777777" w:rsidR="006F2A96" w:rsidRPr="00F24712" w:rsidRDefault="006F2A96" w:rsidP="004376C0">
            <w:pPr>
              <w:spacing w:before="0" w:after="0"/>
              <w:rPr>
                <w:rFonts w:cs="Arial"/>
                <w:iCs/>
                <w:szCs w:val="18"/>
                <w:lang w:val="en-GB"/>
              </w:rPr>
            </w:pPr>
            <w:r w:rsidRPr="00F24712">
              <w:rPr>
                <w:rFonts w:cs="Arial"/>
                <w:iCs/>
                <w:szCs w:val="18"/>
                <w:lang w:val="en-GB"/>
              </w:rPr>
              <w:t>[ISO/IEC 17065:2012], 6.2 Resources for evaluation</w:t>
            </w:r>
          </w:p>
          <w:p w14:paraId="532017F0" w14:textId="77777777" w:rsidR="00280296" w:rsidRPr="00F24712" w:rsidRDefault="00280296" w:rsidP="004376C0">
            <w:pPr>
              <w:spacing w:before="0" w:after="0"/>
              <w:rPr>
                <w:rFonts w:cs="Arial"/>
                <w:iCs/>
                <w:szCs w:val="18"/>
                <w:lang w:val="en-GB"/>
              </w:rPr>
            </w:pPr>
          </w:p>
          <w:p w14:paraId="11433698" w14:textId="77777777" w:rsidR="005F213B" w:rsidRPr="00F24712" w:rsidRDefault="006F2A96" w:rsidP="004376C0">
            <w:pPr>
              <w:rPr>
                <w:rFonts w:cs="Arial"/>
                <w:iCs/>
                <w:szCs w:val="18"/>
                <w:lang w:val="en-GB"/>
              </w:rPr>
            </w:pPr>
            <w:r w:rsidRPr="00F24712">
              <w:rPr>
                <w:rFonts w:cs="Arial"/>
                <w:iCs/>
                <w:szCs w:val="18"/>
                <w:lang w:val="en-GB"/>
              </w:rPr>
              <w:t>ISO/IEC 17065:2012 allows for two options as regards resources for evaluation:</w:t>
            </w:r>
          </w:p>
          <w:p w14:paraId="5A9227FB" w14:textId="77777777" w:rsidR="005F213B" w:rsidRPr="00F24712" w:rsidRDefault="006F2A96" w:rsidP="00D003A5">
            <w:pPr>
              <w:pStyle w:val="Listenabsatz"/>
              <w:numPr>
                <w:ilvl w:val="0"/>
                <w:numId w:val="30"/>
              </w:numPr>
              <w:ind w:left="216" w:hanging="182"/>
              <w:contextualSpacing w:val="0"/>
              <w:rPr>
                <w:rFonts w:cs="Arial"/>
                <w:iCs/>
                <w:szCs w:val="18"/>
                <w:lang w:val="en-GB"/>
              </w:rPr>
            </w:pPr>
            <w:r w:rsidRPr="00F24712">
              <w:rPr>
                <w:rFonts w:cs="Arial"/>
                <w:iCs/>
                <w:szCs w:val="18"/>
                <w:lang w:val="en-GB"/>
              </w:rPr>
              <w:t>The use of the CB internal resources, either directly employed by the CB or under its direct control;</w:t>
            </w:r>
          </w:p>
          <w:p w14:paraId="34149BF4" w14:textId="77777777" w:rsidR="006F2A96" w:rsidRPr="00F24712" w:rsidRDefault="006F2A96" w:rsidP="00D003A5">
            <w:pPr>
              <w:pStyle w:val="Listenabsatz"/>
              <w:numPr>
                <w:ilvl w:val="0"/>
                <w:numId w:val="30"/>
              </w:numPr>
              <w:ind w:left="216" w:hanging="182"/>
              <w:contextualSpacing w:val="0"/>
              <w:rPr>
                <w:rFonts w:cs="Arial"/>
                <w:iCs/>
                <w:szCs w:val="18"/>
                <w:lang w:val="en-GB"/>
              </w:rPr>
            </w:pPr>
            <w:r w:rsidRPr="00F24712">
              <w:rPr>
                <w:rFonts w:cs="Arial"/>
                <w:iCs/>
                <w:szCs w:val="18"/>
                <w:lang w:val="en-GB"/>
              </w:rPr>
              <w:t>The use of external resources, which might belong to different legal entities or may be other parts of the same legal entities.</w:t>
            </w:r>
          </w:p>
          <w:p w14:paraId="15AFBC54" w14:textId="77777777" w:rsidR="006F2A96" w:rsidRPr="00F24712" w:rsidRDefault="006F2A96" w:rsidP="004376C0">
            <w:pPr>
              <w:rPr>
                <w:rFonts w:cs="Arial"/>
                <w:iCs/>
                <w:szCs w:val="18"/>
                <w:lang w:val="en-GB"/>
              </w:rPr>
            </w:pPr>
            <w:r w:rsidRPr="00F24712">
              <w:rPr>
                <w:rFonts w:cs="Arial"/>
                <w:iCs/>
                <w:szCs w:val="18"/>
                <w:lang w:val="en-GB"/>
              </w:rPr>
              <w:t xml:space="preserve">ISO/IEC 18045:2022 states in §9.2.2 and §9.2.3 that the evaluator and the certifier roles </w:t>
            </w:r>
            <w:r w:rsidRPr="00F24712">
              <w:rPr>
                <w:rFonts w:cs="Arial"/>
                <w:b/>
                <w:iCs/>
                <w:szCs w:val="18"/>
                <w:lang w:val="en-GB"/>
              </w:rPr>
              <w:t>shall be fulfilled by different entities</w:t>
            </w:r>
            <w:r w:rsidRPr="00F24712">
              <w:rPr>
                <w:rFonts w:cs="Arial"/>
                <w:iCs/>
                <w:szCs w:val="18"/>
                <w:lang w:val="en-GB"/>
              </w:rPr>
              <w:t>. Moreover, ISO/IEC TS 23532 that applies to ITSEF performing CC evaluations, states that: “To maintain impartiality, the laboratory shall maintain proper separation between evaluators and other personnel inside the laboratory or outside the laboratory, but inside the parent organization.”</w:t>
            </w:r>
          </w:p>
          <w:p w14:paraId="11D8B072" w14:textId="77777777" w:rsidR="006764CA" w:rsidRPr="00F24712" w:rsidRDefault="006F2A96" w:rsidP="004376C0">
            <w:pPr>
              <w:rPr>
                <w:rFonts w:cs="Arial"/>
                <w:iCs/>
                <w:szCs w:val="18"/>
                <w:lang w:val="en-GB"/>
              </w:rPr>
            </w:pPr>
            <w:r w:rsidRPr="00F24712">
              <w:rPr>
                <w:rFonts w:cs="Arial"/>
                <w:iCs/>
                <w:szCs w:val="18"/>
                <w:lang w:val="en-GB"/>
              </w:rPr>
              <w:t>Therefore, in the EUCC context, only the use of external resources shall be possible as illustrated in the following figures. ITSEFs, whether they belong to the same organization or are part of a different organization than the CB, shall be seen as subcontractors/outsourced resources in the sense of ISO/IEC 17065:2012.</w:t>
            </w:r>
          </w:p>
          <w:p w14:paraId="40F5B54B" w14:textId="77777777" w:rsidR="00FD72D2" w:rsidRPr="00F24712" w:rsidRDefault="00FD72D2" w:rsidP="004376C0">
            <w:pPr>
              <w:rPr>
                <w:rFonts w:cs="Arial"/>
                <w:iCs/>
                <w:szCs w:val="18"/>
                <w:lang w:val="en-GB"/>
              </w:rPr>
            </w:pPr>
            <w:r w:rsidRPr="00F24712">
              <w:rPr>
                <w:rFonts w:cs="Arial"/>
                <w:iCs/>
                <w:szCs w:val="18"/>
                <w:lang w:val="en-GB"/>
              </w:rPr>
              <w:t>If the ITSEF ist part oft he same legal entity as the certification body,</w:t>
            </w:r>
            <w:r w:rsidR="005F213B" w:rsidRPr="00F24712">
              <w:rPr>
                <w:rFonts w:cs="Arial"/>
                <w:iCs/>
                <w:szCs w:val="18"/>
                <w:lang w:val="en-GB"/>
              </w:rPr>
              <w:t xml:space="preserve"> </w:t>
            </w:r>
            <w:r w:rsidR="006764CA" w:rsidRPr="00F24712">
              <w:rPr>
                <w:rFonts w:cs="Arial"/>
                <w:iCs/>
                <w:szCs w:val="18"/>
                <w:lang w:val="en-GB"/>
              </w:rPr>
              <w:t>some additional requirements are to be fulfilled by the legal entity to which the CB and the ITSEF belong:</w:t>
            </w:r>
          </w:p>
          <w:p w14:paraId="2D38DAB6" w14:textId="77777777" w:rsidR="00FD72D2" w:rsidRPr="00F24712" w:rsidRDefault="006764CA" w:rsidP="00D003A5">
            <w:pPr>
              <w:pStyle w:val="Listenabsatz"/>
              <w:numPr>
                <w:ilvl w:val="0"/>
                <w:numId w:val="30"/>
              </w:numPr>
              <w:ind w:left="258" w:hanging="224"/>
              <w:contextualSpacing w:val="0"/>
              <w:rPr>
                <w:rFonts w:cs="Arial"/>
                <w:iCs/>
                <w:szCs w:val="18"/>
                <w:lang w:val="en-GB"/>
              </w:rPr>
            </w:pPr>
            <w:r w:rsidRPr="00F24712">
              <w:rPr>
                <w:rFonts w:cs="Arial"/>
                <w:iCs/>
                <w:szCs w:val="18"/>
                <w:lang w:val="en-GB"/>
              </w:rPr>
              <w:t>Top-level management shall not be involved in certification decision,</w:t>
            </w:r>
          </w:p>
          <w:p w14:paraId="792B3122" w14:textId="77777777" w:rsidR="00FD72D2" w:rsidRPr="00F24712" w:rsidRDefault="006764CA" w:rsidP="00D003A5">
            <w:pPr>
              <w:pStyle w:val="Listenabsatz"/>
              <w:numPr>
                <w:ilvl w:val="0"/>
                <w:numId w:val="30"/>
              </w:numPr>
              <w:ind w:left="258" w:hanging="224"/>
              <w:contextualSpacing w:val="0"/>
              <w:rPr>
                <w:rFonts w:cs="Arial"/>
                <w:iCs/>
                <w:szCs w:val="18"/>
                <w:lang w:val="en-GB"/>
              </w:rPr>
            </w:pPr>
            <w:r w:rsidRPr="00F24712">
              <w:rPr>
                <w:rFonts w:cs="Arial"/>
                <w:iCs/>
                <w:szCs w:val="18"/>
                <w:lang w:val="en-GB"/>
              </w:rPr>
              <w:t>Top-level management shall commit to preserve impartiality and prevent undue influence between certification and evaluation,</w:t>
            </w:r>
          </w:p>
          <w:p w14:paraId="0908EE53" w14:textId="77777777" w:rsidR="006764CA" w:rsidRPr="00F24712" w:rsidRDefault="006764CA" w:rsidP="00D003A5">
            <w:pPr>
              <w:pStyle w:val="Listenabsatz"/>
              <w:numPr>
                <w:ilvl w:val="0"/>
                <w:numId w:val="30"/>
              </w:numPr>
              <w:ind w:left="258" w:hanging="224"/>
              <w:contextualSpacing w:val="0"/>
              <w:rPr>
                <w:rFonts w:cs="Arial"/>
                <w:iCs/>
                <w:szCs w:val="18"/>
                <w:lang w:val="en-GB"/>
              </w:rPr>
            </w:pPr>
            <w:r w:rsidRPr="00F24712">
              <w:rPr>
                <w:rFonts w:cs="Arial"/>
                <w:iCs/>
                <w:szCs w:val="18"/>
                <w:lang w:val="en-GB"/>
              </w:rPr>
              <w:t>When another part of the same legal entity acts as ITSEF, CB and ITSEF shall have disjoint perimeters and operate independently in terms of:</w:t>
            </w:r>
          </w:p>
          <w:p w14:paraId="36AB9B21" w14:textId="77777777" w:rsidR="00FD72D2" w:rsidRDefault="006764CA" w:rsidP="00D003A5">
            <w:pPr>
              <w:pStyle w:val="Listenabsatz"/>
              <w:numPr>
                <w:ilvl w:val="0"/>
                <w:numId w:val="30"/>
              </w:numPr>
              <w:ind w:left="258" w:hanging="224"/>
              <w:contextualSpacing w:val="0"/>
              <w:rPr>
                <w:rFonts w:cs="Arial"/>
                <w:iCs/>
                <w:szCs w:val="18"/>
              </w:rPr>
            </w:pPr>
            <w:r w:rsidRPr="00FD72D2">
              <w:rPr>
                <w:rFonts w:cs="Arial"/>
                <w:iCs/>
                <w:szCs w:val="18"/>
              </w:rPr>
              <w:t>Working procedures,</w:t>
            </w:r>
          </w:p>
          <w:p w14:paraId="706B0492" w14:textId="77777777" w:rsidR="00FD72D2" w:rsidRDefault="006764CA" w:rsidP="00D003A5">
            <w:pPr>
              <w:pStyle w:val="Listenabsatz"/>
              <w:numPr>
                <w:ilvl w:val="0"/>
                <w:numId w:val="30"/>
              </w:numPr>
              <w:ind w:left="258" w:hanging="224"/>
              <w:contextualSpacing w:val="0"/>
              <w:rPr>
                <w:rFonts w:cs="Arial"/>
                <w:iCs/>
                <w:szCs w:val="18"/>
              </w:rPr>
            </w:pPr>
            <w:r w:rsidRPr="00FD72D2">
              <w:rPr>
                <w:rFonts w:cs="Arial"/>
                <w:iCs/>
                <w:szCs w:val="18"/>
              </w:rPr>
              <w:t>Competence management,</w:t>
            </w:r>
          </w:p>
          <w:p w14:paraId="549B4F19" w14:textId="77777777" w:rsidR="006764CA" w:rsidRPr="00FD72D2" w:rsidRDefault="006764CA" w:rsidP="00D003A5">
            <w:pPr>
              <w:pStyle w:val="Listenabsatz"/>
              <w:numPr>
                <w:ilvl w:val="0"/>
                <w:numId w:val="30"/>
              </w:numPr>
              <w:ind w:left="258" w:hanging="224"/>
              <w:contextualSpacing w:val="0"/>
              <w:rPr>
                <w:rFonts w:cs="Arial"/>
                <w:iCs/>
                <w:szCs w:val="18"/>
              </w:rPr>
            </w:pPr>
            <w:r w:rsidRPr="00FD72D2">
              <w:rPr>
                <w:rFonts w:cs="Arial"/>
                <w:iCs/>
                <w:szCs w:val="18"/>
              </w:rPr>
              <w:t>Resource allocation.</w:t>
            </w:r>
          </w:p>
          <w:p w14:paraId="653647DF" w14:textId="77777777" w:rsidR="0028051C" w:rsidRPr="00F24712" w:rsidRDefault="006764CA" w:rsidP="004376C0">
            <w:pPr>
              <w:rPr>
                <w:rFonts w:cs="Arial"/>
                <w:iCs/>
                <w:szCs w:val="18"/>
                <w:lang w:val="en-GB"/>
              </w:rPr>
            </w:pPr>
            <w:r w:rsidRPr="00F24712">
              <w:rPr>
                <w:rFonts w:cs="Arial"/>
                <w:iCs/>
                <w:szCs w:val="18"/>
                <w:lang w:val="en-GB"/>
              </w:rPr>
              <w:lastRenderedPageBreak/>
              <w:t>This implies some structural and organizational separation. Personnel involved in evaluation activities shall not be CB´s personnel and shall not be involved in the review and certification decision-making process. However, without prejudice to the previous requirements, Quality Management may be mutualized between both accredited bodies.</w:t>
            </w:r>
          </w:p>
          <w:p w14:paraId="6E703563" w14:textId="77777777" w:rsidR="006764CA" w:rsidRPr="00F24712" w:rsidRDefault="006764CA" w:rsidP="004376C0">
            <w:pPr>
              <w:pStyle w:val="Textkrper"/>
              <w:rPr>
                <w:iCs/>
                <w:sz w:val="20"/>
                <w:szCs w:val="18"/>
                <w:lang w:val="en-GB"/>
              </w:rPr>
            </w:pPr>
            <w:r w:rsidRPr="00F24712">
              <w:rPr>
                <w:iCs/>
                <w:sz w:val="20"/>
                <w:szCs w:val="18"/>
                <w:lang w:val="en-GB"/>
              </w:rPr>
              <w:t>The CB shall take responsibility for all evaluation tasks outsourced to selected and approved ITSEFs. The outsourced activities, as well as the CB’s responsibility for those outsourced tasks, shall be reflected in the legally binding contract or agreement the CB establishes with its clients.</w:t>
            </w:r>
          </w:p>
        </w:tc>
        <w:tc>
          <w:tcPr>
            <w:tcW w:w="1745" w:type="dxa"/>
            <w:shd w:val="clear" w:color="auto" w:fill="FFF2CC"/>
          </w:tcPr>
          <w:p w14:paraId="61BD0F13" w14:textId="77777777" w:rsidR="0028051C" w:rsidRPr="00BA5C85" w:rsidRDefault="0028051C" w:rsidP="0028051C">
            <w:pPr>
              <w:spacing w:before="0" w:after="0"/>
              <w:rPr>
                <w:rFonts w:cs="Arial"/>
                <w:iCs/>
                <w:noProof/>
                <w:sz w:val="18"/>
                <w:szCs w:val="18"/>
              </w:rPr>
            </w:pPr>
            <w:r w:rsidRPr="00BA5C85">
              <w:rPr>
                <w:rFonts w:cs="Arial"/>
                <w:iCs/>
                <w:noProof/>
                <w:sz w:val="18"/>
                <w:szCs w:val="18"/>
              </w:rPr>
              <w:lastRenderedPageBreak/>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2CF82C56"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47C9B050"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F7DDB6F" w14:textId="77777777" w:rsidR="0028051C" w:rsidRPr="00BA5C85" w:rsidRDefault="0028051C" w:rsidP="0028051C">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3A57FA28" w14:textId="77777777" w:rsidR="0028051C" w:rsidRPr="00BA5C85" w:rsidRDefault="0028051C" w:rsidP="0028051C">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6764CA" w:rsidRPr="00BA5C85" w14:paraId="7B8CCC4D" w14:textId="77777777" w:rsidTr="009F7FD9">
        <w:tc>
          <w:tcPr>
            <w:tcW w:w="687" w:type="dxa"/>
          </w:tcPr>
          <w:p w14:paraId="03196DAD" w14:textId="08BB6360" w:rsidR="006764CA" w:rsidRPr="00BA5C85" w:rsidRDefault="006F2A96" w:rsidP="006764CA">
            <w:pPr>
              <w:spacing w:before="0" w:after="0"/>
              <w:rPr>
                <w:rFonts w:cs="Arial"/>
                <w:iCs/>
                <w:szCs w:val="18"/>
              </w:rPr>
            </w:pPr>
            <w:r>
              <w:rPr>
                <w:rFonts w:cs="Arial"/>
                <w:iCs/>
                <w:szCs w:val="18"/>
              </w:rPr>
              <w:t>8.2</w:t>
            </w:r>
            <w:r w:rsidR="00705B51">
              <w:rPr>
                <w:rFonts w:cs="Arial"/>
                <w:iCs/>
                <w:szCs w:val="18"/>
              </w:rPr>
              <w:t>.4</w:t>
            </w:r>
          </w:p>
        </w:tc>
        <w:tc>
          <w:tcPr>
            <w:tcW w:w="5218" w:type="dxa"/>
          </w:tcPr>
          <w:p w14:paraId="01912566" w14:textId="77777777" w:rsidR="006764CA" w:rsidRPr="00F24712" w:rsidRDefault="006764CA" w:rsidP="004376C0">
            <w:pPr>
              <w:pStyle w:val="berschrift4"/>
              <w:spacing w:before="0" w:after="0"/>
              <w:rPr>
                <w:b w:val="0"/>
                <w:bCs w:val="0"/>
                <w:iCs/>
                <w:lang w:val="en-GB"/>
              </w:rPr>
            </w:pPr>
            <w:r w:rsidRPr="00F24712">
              <w:rPr>
                <w:bCs w:val="0"/>
                <w:iCs/>
                <w:lang w:val="en-GB"/>
              </w:rPr>
              <w:t>Requirements for CBs for the selection and approval of ITSEFs</w:t>
            </w:r>
          </w:p>
          <w:p w14:paraId="3854593A" w14:textId="77777777" w:rsidR="006764CA" w:rsidRPr="00FD72D2" w:rsidRDefault="006764CA" w:rsidP="004376C0">
            <w:pPr>
              <w:pStyle w:val="FirstParagraph"/>
              <w:spacing w:before="40" w:after="20" w:line="240" w:lineRule="auto"/>
              <w:rPr>
                <w:rFonts w:asciiTheme="minorHAnsi" w:hAnsiTheme="minorHAnsi" w:cstheme="minorHAnsi"/>
                <w:sz w:val="20"/>
                <w:szCs w:val="20"/>
              </w:rPr>
            </w:pPr>
            <w:r w:rsidRPr="00FD72D2">
              <w:rPr>
                <w:rFonts w:asciiTheme="minorHAnsi" w:hAnsiTheme="minorHAnsi" w:cstheme="minorHAnsi"/>
                <w:sz w:val="20"/>
                <w:szCs w:val="20"/>
              </w:rPr>
              <w:t xml:space="preserve">In response to </w:t>
            </w:r>
            <w:r w:rsidRPr="00280296">
              <w:rPr>
                <w:rFonts w:asciiTheme="minorHAnsi" w:hAnsiTheme="minorHAnsi" w:cstheme="minorHAnsi"/>
                <w:sz w:val="20"/>
                <w:szCs w:val="20"/>
              </w:rPr>
              <w:t>ISO/IEC 17065:2012</w:t>
            </w:r>
            <w:r w:rsidRPr="00FD72D2">
              <w:rPr>
                <w:rFonts w:asciiTheme="minorHAnsi" w:hAnsiTheme="minorHAnsi" w:cstheme="minorHAnsi"/>
                <w:sz w:val="20"/>
                <w:szCs w:val="20"/>
              </w:rPr>
              <w:t xml:space="preserve"> §6.2.2.3, the CB shall have a legally binding contract or agreement in place with each ITSEF it’s working with, that includes specific provisions for:</w:t>
            </w:r>
          </w:p>
          <w:p w14:paraId="16EFE620" w14:textId="77777777" w:rsidR="006764CA" w:rsidRPr="00F24712" w:rsidRDefault="006764CA" w:rsidP="00D003A5">
            <w:pPr>
              <w:numPr>
                <w:ilvl w:val="0"/>
                <w:numId w:val="29"/>
              </w:numPr>
              <w:ind w:left="286" w:hanging="266"/>
              <w:rPr>
                <w:rFonts w:asciiTheme="minorHAnsi" w:hAnsiTheme="minorHAnsi" w:cstheme="minorHAnsi"/>
                <w:lang w:val="en-GB"/>
              </w:rPr>
            </w:pPr>
            <w:r w:rsidRPr="00F24712">
              <w:rPr>
                <w:rFonts w:asciiTheme="minorHAnsi" w:hAnsiTheme="minorHAnsi" w:cstheme="minorHAnsi"/>
                <w:lang w:val="en-GB"/>
              </w:rPr>
              <w:t>The respective roles and responsibilities of both the CB and the ITSEF regarding CC evaluation and certification tasks, in line with ISO/IEC 18045:2022 §9.2;</w:t>
            </w:r>
          </w:p>
          <w:p w14:paraId="0C5C1B1E" w14:textId="77777777" w:rsidR="006764CA" w:rsidRPr="00F24712" w:rsidRDefault="006764CA" w:rsidP="00D003A5">
            <w:pPr>
              <w:numPr>
                <w:ilvl w:val="0"/>
                <w:numId w:val="29"/>
              </w:numPr>
              <w:ind w:left="286" w:hanging="266"/>
              <w:rPr>
                <w:rFonts w:asciiTheme="minorHAnsi" w:hAnsiTheme="minorHAnsi" w:cstheme="minorHAnsi"/>
                <w:lang w:val="en-GB"/>
              </w:rPr>
            </w:pPr>
            <w:r w:rsidRPr="00F24712">
              <w:rPr>
                <w:rFonts w:asciiTheme="minorHAnsi" w:hAnsiTheme="minorHAnsi" w:cstheme="minorHAnsi"/>
                <w:lang w:val="en-GB"/>
              </w:rPr>
              <w:t>The management of confidentiality, in particular as regards sensitive and/or proprietary information shared by the sponsor/developer as part of certification evidence, and evaluation results;</w:t>
            </w:r>
          </w:p>
          <w:p w14:paraId="4488F7EF" w14:textId="77777777" w:rsidR="006764CA" w:rsidRPr="00F24712" w:rsidRDefault="006764CA" w:rsidP="00D003A5">
            <w:pPr>
              <w:numPr>
                <w:ilvl w:val="0"/>
                <w:numId w:val="29"/>
              </w:numPr>
              <w:ind w:left="286" w:hanging="266"/>
              <w:rPr>
                <w:rFonts w:asciiTheme="minorHAnsi" w:hAnsiTheme="minorHAnsi" w:cstheme="minorHAnsi"/>
                <w:lang w:val="en-GB"/>
              </w:rPr>
            </w:pPr>
            <w:r w:rsidRPr="00F24712">
              <w:rPr>
                <w:rFonts w:asciiTheme="minorHAnsi" w:hAnsiTheme="minorHAnsi" w:cstheme="minorHAnsi"/>
                <w:lang w:val="en-GB"/>
              </w:rPr>
              <w:t>Identification and prevention of conflict of interest, in line with ISO/IEC 17065:2012 6.1.3 item c).</w:t>
            </w:r>
          </w:p>
          <w:p w14:paraId="559C61D7" w14:textId="77777777" w:rsidR="006764CA" w:rsidRPr="00FD72D2" w:rsidRDefault="006764CA" w:rsidP="004376C0">
            <w:pPr>
              <w:pStyle w:val="FirstParagraph"/>
              <w:spacing w:before="40" w:after="20" w:line="240" w:lineRule="auto"/>
              <w:rPr>
                <w:rFonts w:asciiTheme="minorHAnsi" w:hAnsiTheme="minorHAnsi" w:cstheme="minorHAnsi"/>
                <w:sz w:val="20"/>
                <w:szCs w:val="20"/>
              </w:rPr>
            </w:pPr>
            <w:r w:rsidRPr="00FD72D2">
              <w:rPr>
                <w:rFonts w:asciiTheme="minorHAnsi" w:hAnsiTheme="minorHAnsi" w:cstheme="minorHAnsi"/>
                <w:b/>
                <w:sz w:val="20"/>
                <w:szCs w:val="20"/>
              </w:rPr>
              <w:t>Note:</w:t>
            </w:r>
            <w:r w:rsidRPr="00FD72D2">
              <w:rPr>
                <w:rFonts w:asciiTheme="minorHAnsi" w:hAnsiTheme="minorHAnsi" w:cstheme="minorHAnsi"/>
                <w:sz w:val="20"/>
                <w:szCs w:val="20"/>
              </w:rPr>
              <w:t xml:space="preserve"> the ITSEF shall perform evaluation activities as specified in CEM work units and provide verdicts with regards to the conformance of the evaluated product with the specified security requirements; the CB shall review - and possibly discuss - the verdicts proposed by the ITSEF, and based on a final ETR, confirm those verdicts and make a certification decision that shall, when applicable, lead to the issuance of a </w:t>
            </w:r>
            <w:r w:rsidRPr="00280296">
              <w:rPr>
                <w:rFonts w:asciiTheme="minorHAnsi" w:hAnsiTheme="minorHAnsi" w:cstheme="minorHAnsi"/>
                <w:sz w:val="20"/>
                <w:szCs w:val="20"/>
              </w:rPr>
              <w:t>EUCC</w:t>
            </w:r>
            <w:r w:rsidRPr="00FD72D2">
              <w:rPr>
                <w:rFonts w:asciiTheme="minorHAnsi" w:hAnsiTheme="minorHAnsi" w:cstheme="minorHAnsi"/>
                <w:sz w:val="20"/>
                <w:szCs w:val="20"/>
              </w:rPr>
              <w:t xml:space="preserve"> certificate and certification report.</w:t>
            </w:r>
          </w:p>
          <w:p w14:paraId="6B626306" w14:textId="77777777" w:rsidR="006764CA" w:rsidRPr="00F24712" w:rsidRDefault="006764CA" w:rsidP="004376C0">
            <w:pPr>
              <w:pStyle w:val="Textkrper"/>
              <w:rPr>
                <w:rFonts w:asciiTheme="minorHAnsi" w:hAnsiTheme="minorHAnsi" w:cstheme="minorHAnsi"/>
                <w:sz w:val="20"/>
                <w:lang w:val="en-GB"/>
              </w:rPr>
            </w:pPr>
            <w:r w:rsidRPr="00F24712">
              <w:rPr>
                <w:rFonts w:asciiTheme="minorHAnsi" w:hAnsiTheme="minorHAnsi" w:cstheme="minorHAnsi"/>
                <w:sz w:val="20"/>
                <w:lang w:val="en-GB"/>
              </w:rPr>
              <w:t>The CB shall maintain a list of selected and approved ITSEFs for the outsourcing of evaluation tasks as part of EUCC certification projects.</w:t>
            </w:r>
          </w:p>
          <w:p w14:paraId="387DC8ED" w14:textId="77777777" w:rsidR="006764CA" w:rsidRPr="00F24712" w:rsidRDefault="006764CA" w:rsidP="004376C0">
            <w:pPr>
              <w:pStyle w:val="Textkrper"/>
              <w:rPr>
                <w:rFonts w:asciiTheme="minorHAnsi" w:hAnsiTheme="minorHAnsi" w:cstheme="minorHAnsi"/>
                <w:sz w:val="20"/>
                <w:lang w:val="en-GB"/>
              </w:rPr>
            </w:pPr>
            <w:r w:rsidRPr="00F24712">
              <w:rPr>
                <w:rFonts w:asciiTheme="minorHAnsi" w:hAnsiTheme="minorHAnsi" w:cstheme="minorHAnsi"/>
                <w:sz w:val="20"/>
                <w:lang w:val="en-GB"/>
              </w:rPr>
              <w:t>The CB shall have a process in place to assess:</w:t>
            </w:r>
          </w:p>
          <w:p w14:paraId="4C920DBB" w14:textId="77777777" w:rsidR="006764CA" w:rsidRPr="00F24712" w:rsidRDefault="006764CA" w:rsidP="00D003A5">
            <w:pPr>
              <w:numPr>
                <w:ilvl w:val="0"/>
                <w:numId w:val="29"/>
              </w:numPr>
              <w:ind w:left="243" w:hanging="243"/>
              <w:rPr>
                <w:rFonts w:asciiTheme="minorHAnsi" w:hAnsiTheme="minorHAnsi" w:cstheme="minorHAnsi"/>
                <w:lang w:val="en-GB"/>
              </w:rPr>
            </w:pPr>
            <w:r w:rsidRPr="00F24712">
              <w:rPr>
                <w:rFonts w:asciiTheme="minorHAnsi" w:hAnsiTheme="minorHAnsi" w:cstheme="minorHAnsi"/>
                <w:lang w:val="en-GB"/>
              </w:rPr>
              <w:t>That selected and approved ITSEFs are appropriately accredited according to ISO/IEC 17025 and according to the state-of-the-art document “ACCREDITATION OF ITSEFs FOR THE EUCC SCHEME”, for the scope of evaluation activities that are relevant for the activities of the CB;</w:t>
            </w:r>
          </w:p>
          <w:p w14:paraId="1A258C69" w14:textId="77777777" w:rsidR="006764CA" w:rsidRPr="00F24712" w:rsidRDefault="006764CA" w:rsidP="00D003A5">
            <w:pPr>
              <w:numPr>
                <w:ilvl w:val="0"/>
                <w:numId w:val="29"/>
              </w:numPr>
              <w:ind w:left="243" w:hanging="243"/>
              <w:rPr>
                <w:rFonts w:asciiTheme="minorHAnsi" w:hAnsiTheme="minorHAnsi" w:cstheme="minorHAnsi"/>
                <w:lang w:val="en-GB"/>
              </w:rPr>
            </w:pPr>
            <w:r w:rsidRPr="00F24712">
              <w:rPr>
                <w:rFonts w:asciiTheme="minorHAnsi" w:hAnsiTheme="minorHAnsi" w:cstheme="minorHAnsi"/>
                <w:lang w:val="en-GB"/>
              </w:rPr>
              <w:t>That, at any time, the selected and approved ITSEFs continue to comply with rules and requirements covered by the contract or agreement they have with the CB.</w:t>
            </w:r>
          </w:p>
          <w:p w14:paraId="2D886AF1" w14:textId="77777777" w:rsidR="006764CA" w:rsidRPr="00FD72D2" w:rsidRDefault="006764CA" w:rsidP="004376C0">
            <w:pPr>
              <w:pStyle w:val="FirstParagraph"/>
              <w:spacing w:before="40" w:after="20" w:line="240" w:lineRule="auto"/>
              <w:rPr>
                <w:rFonts w:asciiTheme="minorHAnsi" w:hAnsiTheme="minorHAnsi" w:cstheme="minorHAnsi"/>
                <w:sz w:val="20"/>
                <w:szCs w:val="20"/>
              </w:rPr>
            </w:pPr>
            <w:r w:rsidRPr="00FD72D2">
              <w:rPr>
                <w:rFonts w:asciiTheme="minorHAnsi" w:hAnsiTheme="minorHAnsi" w:cstheme="minorHAnsi"/>
                <w:sz w:val="20"/>
                <w:szCs w:val="20"/>
              </w:rPr>
              <w:lastRenderedPageBreak/>
              <w:t>Such process shall be documented in the CB’s operating procedures, and records of assessment and monitoring of the selected and approved ITSEFs shall be produced and securely stored for a period of at least five (5) years after the legally binding contract or agreement with an ITSEF has ceased to produce effect.</w:t>
            </w:r>
          </w:p>
          <w:p w14:paraId="657B6E60" w14:textId="77777777" w:rsidR="006764CA" w:rsidRPr="00F24712" w:rsidRDefault="006764CA" w:rsidP="004376C0">
            <w:pPr>
              <w:pStyle w:val="Textkrper"/>
              <w:rPr>
                <w:iCs/>
                <w:szCs w:val="18"/>
                <w:lang w:val="en-GB"/>
              </w:rPr>
            </w:pPr>
            <w:r w:rsidRPr="00F24712">
              <w:rPr>
                <w:rFonts w:asciiTheme="minorHAnsi" w:hAnsiTheme="minorHAnsi" w:cstheme="minorHAnsi"/>
                <w:sz w:val="20"/>
                <w:lang w:val="en-GB"/>
              </w:rPr>
              <w:t>The CB shall have a process in place to implement corrective actions for any breaches of the contract or agreement with an ITSEF of which it becomes aware.</w:t>
            </w:r>
          </w:p>
        </w:tc>
        <w:tc>
          <w:tcPr>
            <w:tcW w:w="1745" w:type="dxa"/>
            <w:shd w:val="clear" w:color="auto" w:fill="FFF2CC"/>
          </w:tcPr>
          <w:p w14:paraId="4B463603" w14:textId="77777777" w:rsidR="006764CA" w:rsidRPr="00BA5C85" w:rsidRDefault="006764CA" w:rsidP="006764CA">
            <w:pPr>
              <w:spacing w:before="0" w:after="0"/>
              <w:rPr>
                <w:rFonts w:cs="Arial"/>
                <w:iCs/>
                <w:noProof/>
                <w:sz w:val="18"/>
                <w:szCs w:val="18"/>
              </w:rPr>
            </w:pPr>
            <w:r w:rsidRPr="00BA5C85">
              <w:rPr>
                <w:rFonts w:cs="Arial"/>
                <w:iCs/>
                <w:noProof/>
                <w:sz w:val="18"/>
                <w:szCs w:val="18"/>
              </w:rPr>
              <w:lastRenderedPageBreak/>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14:paraId="5F92E276" w14:textId="77777777" w:rsidR="006764CA" w:rsidRPr="00BA5C85" w:rsidRDefault="006764CA" w:rsidP="006764CA">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2106ACC0" w14:textId="77777777" w:rsidR="006764CA" w:rsidRPr="00BA5C85" w:rsidRDefault="006764CA" w:rsidP="006764CA">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473" w:type="dxa"/>
            <w:shd w:val="clear" w:color="auto" w:fill="FFF2CC"/>
          </w:tcPr>
          <w:p w14:paraId="181DFA19" w14:textId="77777777" w:rsidR="006764CA" w:rsidRPr="00BA5C85" w:rsidRDefault="006764CA" w:rsidP="006764CA">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650B37">
              <w:rPr>
                <w:rFonts w:cs="Arial"/>
                <w:bCs/>
                <w:sz w:val="18"/>
                <w:szCs w:val="18"/>
              </w:rPr>
            </w:r>
            <w:r w:rsidR="00650B37">
              <w:rPr>
                <w:rFonts w:cs="Arial"/>
                <w:bCs/>
                <w:sz w:val="18"/>
                <w:szCs w:val="18"/>
              </w:rPr>
              <w:fldChar w:fldCharType="separate"/>
            </w:r>
            <w:r w:rsidRPr="00BA5C85">
              <w:rPr>
                <w:rFonts w:cs="Arial"/>
                <w:bCs/>
                <w:sz w:val="18"/>
                <w:szCs w:val="18"/>
              </w:rPr>
              <w:fldChar w:fldCharType="end"/>
            </w:r>
          </w:p>
        </w:tc>
        <w:tc>
          <w:tcPr>
            <w:tcW w:w="566" w:type="dxa"/>
            <w:shd w:val="clear" w:color="auto" w:fill="FFF2CC"/>
          </w:tcPr>
          <w:p w14:paraId="51105B56" w14:textId="77777777" w:rsidR="006764CA" w:rsidRPr="00BA5C85" w:rsidRDefault="006764CA" w:rsidP="006764CA">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bl>
    <w:p w14:paraId="6386B2E9" w14:textId="77777777" w:rsidR="00DC4E12" w:rsidRDefault="00DC4E12" w:rsidP="00DC4E12">
      <w:pPr>
        <w:spacing w:before="0" w:after="0"/>
        <w:rPr>
          <w:sz w:val="2"/>
          <w:szCs w:val="2"/>
        </w:rPr>
      </w:pPr>
    </w:p>
    <w:p w14:paraId="418A881C" w14:textId="77777777" w:rsidR="009274EA" w:rsidRPr="00BA5C85" w:rsidRDefault="009274EA" w:rsidP="00DC4E12">
      <w:pPr>
        <w:spacing w:before="0" w:after="0"/>
        <w:rPr>
          <w:sz w:val="2"/>
          <w:szCs w:val="2"/>
        </w:rPr>
        <w:sectPr w:rsidR="009274EA" w:rsidRPr="00BA5C85" w:rsidSect="008C67EB">
          <w:headerReference w:type="default" r:id="rId14"/>
          <w:endnotePr>
            <w:numFmt w:val="decimal"/>
          </w:endnotePr>
          <w:pgSz w:w="11906" w:h="16838" w:code="9"/>
          <w:pgMar w:top="567" w:right="1134" w:bottom="1418" w:left="1134" w:header="720" w:footer="844" w:gutter="0"/>
          <w:cols w:space="720"/>
          <w:docGrid w:linePitch="299"/>
        </w:sectPr>
      </w:pPr>
    </w:p>
    <w:p w14:paraId="7A94707C" w14:textId="77777777" w:rsidR="00280296" w:rsidRDefault="00280296" w:rsidP="00134B5D">
      <w:pPr>
        <w:spacing w:before="0" w:after="0"/>
      </w:pPr>
    </w:p>
    <w:tbl>
      <w:tblPr>
        <w:tblW w:w="5001"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825"/>
        <w:gridCol w:w="2334"/>
        <w:gridCol w:w="965"/>
        <w:gridCol w:w="1238"/>
        <w:gridCol w:w="2272"/>
        <w:gridCol w:w="1995"/>
      </w:tblGrid>
      <w:tr w:rsidR="00204431" w:rsidRPr="00BA5C85" w14:paraId="0C596972" w14:textId="77777777" w:rsidTr="00280296">
        <w:tc>
          <w:tcPr>
            <w:tcW w:w="5000" w:type="pct"/>
            <w:gridSpan w:val="6"/>
            <w:tcBorders>
              <w:top w:val="single" w:sz="4" w:space="0" w:color="auto"/>
              <w:left w:val="single" w:sz="6" w:space="0" w:color="auto"/>
              <w:bottom w:val="nil"/>
            </w:tcBorders>
            <w:shd w:val="clear" w:color="auto" w:fill="auto"/>
          </w:tcPr>
          <w:p w14:paraId="2BAC4ED7" w14:textId="77777777" w:rsidR="00876CA8" w:rsidRPr="00876CA8" w:rsidRDefault="00204431" w:rsidP="00D518B1">
            <w:pPr>
              <w:keepNext/>
              <w:tabs>
                <w:tab w:val="left" w:pos="630"/>
                <w:tab w:val="left" w:pos="913"/>
              </w:tabs>
              <w:spacing w:before="0" w:after="0"/>
              <w:rPr>
                <w:b/>
              </w:rPr>
            </w:pPr>
            <w:r w:rsidRPr="00BA5C85">
              <w:rPr>
                <w:b/>
              </w:rPr>
              <w:t>Der Bericht wurde als Anhang zum Bericht gem</w:t>
            </w:r>
            <w:r w:rsidR="00280296">
              <w:rPr>
                <w:b/>
              </w:rPr>
              <w:t xml:space="preserve">äß </w:t>
            </w:r>
            <w:r w:rsidR="00280296" w:rsidRPr="00BA5C85">
              <w:rPr>
                <w:rFonts w:cs="Calibri"/>
                <w:sz w:val="22"/>
                <w:szCs w:val="22"/>
              </w:rPr>
              <w:fldChar w:fldCharType="begin">
                <w:ffData>
                  <w:name w:val="Kontrollkästchen1"/>
                  <w:enabled/>
                  <w:calcOnExit w:val="0"/>
                  <w:checkBox>
                    <w:sizeAuto/>
                    <w:default w:val="0"/>
                    <w:checked w:val="0"/>
                  </w:checkBox>
                </w:ffData>
              </w:fldChar>
            </w:r>
            <w:r w:rsidR="00280296" w:rsidRPr="00BA5C85">
              <w:rPr>
                <w:rFonts w:cs="Calibri"/>
                <w:sz w:val="22"/>
                <w:szCs w:val="22"/>
              </w:rPr>
              <w:instrText xml:space="preserve"> FORMCHECKBOX </w:instrText>
            </w:r>
            <w:r w:rsidR="00650B37">
              <w:rPr>
                <w:rFonts w:cs="Calibri"/>
                <w:sz w:val="22"/>
                <w:szCs w:val="22"/>
              </w:rPr>
            </w:r>
            <w:r w:rsidR="00650B37">
              <w:rPr>
                <w:rFonts w:cs="Calibri"/>
                <w:sz w:val="22"/>
                <w:szCs w:val="22"/>
              </w:rPr>
              <w:fldChar w:fldCharType="separate"/>
            </w:r>
            <w:r w:rsidR="00280296" w:rsidRPr="00BA5C85">
              <w:rPr>
                <w:rFonts w:cs="Calibri"/>
                <w:sz w:val="22"/>
                <w:szCs w:val="22"/>
              </w:rPr>
              <w:fldChar w:fldCharType="end"/>
            </w:r>
            <w:r w:rsidR="00280296">
              <w:rPr>
                <w:rFonts w:cs="Calibri"/>
                <w:sz w:val="22"/>
                <w:szCs w:val="22"/>
              </w:rPr>
              <w:t xml:space="preserve"> </w:t>
            </w:r>
            <w:r w:rsidRPr="00BA5C85">
              <w:rPr>
                <w:b/>
              </w:rPr>
              <w:t>DIN EN ISO/IEC 1702</w:t>
            </w:r>
            <w:r w:rsidR="006B2A51" w:rsidRPr="00BA5C85">
              <w:rPr>
                <w:b/>
              </w:rPr>
              <w:t>5</w:t>
            </w:r>
            <w:r w:rsidR="00D518B1">
              <w:rPr>
                <w:b/>
              </w:rPr>
              <w:t xml:space="preserve"> </w:t>
            </w:r>
            <w:r w:rsidR="00280296" w:rsidRPr="00BA5C85">
              <w:rPr>
                <w:rFonts w:cs="Calibri"/>
                <w:sz w:val="22"/>
                <w:szCs w:val="22"/>
              </w:rPr>
              <w:fldChar w:fldCharType="begin">
                <w:ffData>
                  <w:name w:val="Kontrollkästchen1"/>
                  <w:enabled/>
                  <w:calcOnExit w:val="0"/>
                  <w:checkBox>
                    <w:sizeAuto/>
                    <w:default w:val="0"/>
                    <w:checked w:val="0"/>
                  </w:checkBox>
                </w:ffData>
              </w:fldChar>
            </w:r>
            <w:r w:rsidR="00280296" w:rsidRPr="00BA5C85">
              <w:rPr>
                <w:rFonts w:cs="Calibri"/>
                <w:sz w:val="22"/>
                <w:szCs w:val="22"/>
              </w:rPr>
              <w:instrText xml:space="preserve"> FORMCHECKBOX </w:instrText>
            </w:r>
            <w:r w:rsidR="00650B37">
              <w:rPr>
                <w:rFonts w:cs="Calibri"/>
                <w:sz w:val="22"/>
                <w:szCs w:val="22"/>
              </w:rPr>
            </w:r>
            <w:r w:rsidR="00650B37">
              <w:rPr>
                <w:rFonts w:cs="Calibri"/>
                <w:sz w:val="22"/>
                <w:szCs w:val="22"/>
              </w:rPr>
              <w:fldChar w:fldCharType="separate"/>
            </w:r>
            <w:r w:rsidR="00280296" w:rsidRPr="00BA5C85">
              <w:rPr>
                <w:rFonts w:cs="Calibri"/>
                <w:sz w:val="22"/>
                <w:szCs w:val="22"/>
              </w:rPr>
              <w:fldChar w:fldCharType="end"/>
            </w:r>
            <w:r w:rsidR="00280296">
              <w:rPr>
                <w:rFonts w:cs="Calibri"/>
                <w:sz w:val="22"/>
                <w:szCs w:val="22"/>
              </w:rPr>
              <w:t xml:space="preserve"> </w:t>
            </w:r>
            <w:r w:rsidR="006B2A51" w:rsidRPr="00BA5C85">
              <w:rPr>
                <w:b/>
              </w:rPr>
              <w:t>DIN EN ISO/IEC 17065</w:t>
            </w:r>
            <w:r w:rsidRPr="00BA5C85">
              <w:rPr>
                <w:b/>
              </w:rPr>
              <w:t xml:space="preserve"> erstellt</w:t>
            </w:r>
            <w:r w:rsidRPr="00BA5C85">
              <w:rPr>
                <w:rStyle w:val="Endnotenzeichen"/>
              </w:rPr>
              <w:endnoteReference w:id="4"/>
            </w:r>
            <w:r w:rsidRPr="00BA5C85">
              <w:rPr>
                <w:b/>
              </w:rPr>
              <w:t>:</w:t>
            </w:r>
          </w:p>
        </w:tc>
      </w:tr>
      <w:tr w:rsidR="00BA6B83" w:rsidRPr="00C96561" w14:paraId="0C92E4B9" w14:textId="77777777" w:rsidTr="004376C0">
        <w:tc>
          <w:tcPr>
            <w:tcW w:w="428" w:type="pct"/>
            <w:tcBorders>
              <w:top w:val="nil"/>
              <w:left w:val="single" w:sz="6" w:space="0" w:color="auto"/>
              <w:bottom w:val="single" w:sz="4" w:space="0" w:color="auto"/>
            </w:tcBorders>
            <w:shd w:val="clear" w:color="auto" w:fill="auto"/>
            <w:vAlign w:val="bottom"/>
          </w:tcPr>
          <w:p w14:paraId="5D2EFDFF" w14:textId="77777777" w:rsidR="00BA6B83" w:rsidRPr="00BA5C85" w:rsidRDefault="00BA6B83" w:rsidP="008C67EB">
            <w:pPr>
              <w:keepNext/>
              <w:spacing w:before="0" w:after="0"/>
              <w:rPr>
                <w:bCs/>
              </w:rPr>
            </w:pPr>
            <w:r w:rsidRPr="00BA5C85">
              <w:rPr>
                <w:bCs/>
              </w:rPr>
              <w:t>Ort:</w:t>
            </w:r>
          </w:p>
        </w:tc>
        <w:tc>
          <w:tcPr>
            <w:tcW w:w="1212" w:type="pct"/>
            <w:tcBorders>
              <w:top w:val="nil"/>
              <w:bottom w:val="single" w:sz="4" w:space="0" w:color="auto"/>
              <w:right w:val="nil"/>
            </w:tcBorders>
            <w:shd w:val="clear" w:color="auto" w:fill="FFF2CC"/>
            <w:vAlign w:val="bottom"/>
          </w:tcPr>
          <w:p w14:paraId="6ED319B1" w14:textId="77777777" w:rsidR="00BA6B83" w:rsidRPr="00BA5C85" w:rsidRDefault="00BA6B83" w:rsidP="008C67EB">
            <w:pPr>
              <w:keepNext/>
              <w:spacing w:before="0" w:after="0"/>
              <w:rPr>
                <w:bCs/>
              </w:rPr>
            </w:pPr>
            <w:r w:rsidRPr="00BA5C85">
              <w:fldChar w:fldCharType="begin">
                <w:ffData>
                  <w:name w:val=""/>
                  <w:enabled/>
                  <w:calcOnExit w:val="0"/>
                  <w:textInput/>
                </w:ffData>
              </w:fldChar>
            </w:r>
            <w:r w:rsidRPr="00BA5C85">
              <w:instrText xml:space="preserve"> FORMTEXT </w:instrText>
            </w:r>
            <w:r w:rsidRPr="00BA5C85">
              <w:fldChar w:fldCharType="separate"/>
            </w:r>
            <w:r w:rsidRPr="00BA5C85">
              <w:rPr>
                <w:noProof/>
              </w:rPr>
              <w:t> </w:t>
            </w:r>
            <w:r w:rsidRPr="00BA5C85">
              <w:rPr>
                <w:noProof/>
              </w:rPr>
              <w:t> </w:t>
            </w:r>
            <w:r w:rsidRPr="00BA5C85">
              <w:rPr>
                <w:noProof/>
              </w:rPr>
              <w:t> </w:t>
            </w:r>
            <w:r w:rsidRPr="00BA5C85">
              <w:rPr>
                <w:noProof/>
              </w:rPr>
              <w:t> </w:t>
            </w:r>
            <w:r w:rsidRPr="00BA5C85">
              <w:rPr>
                <w:noProof/>
              </w:rPr>
              <w:t> </w:t>
            </w:r>
            <w:r w:rsidRPr="00BA5C85">
              <w:fldChar w:fldCharType="end"/>
            </w:r>
          </w:p>
        </w:tc>
        <w:tc>
          <w:tcPr>
            <w:tcW w:w="501" w:type="pct"/>
            <w:tcBorders>
              <w:top w:val="nil"/>
              <w:left w:val="nil"/>
              <w:bottom w:val="single" w:sz="4" w:space="0" w:color="auto"/>
            </w:tcBorders>
            <w:shd w:val="clear" w:color="auto" w:fill="auto"/>
            <w:vAlign w:val="bottom"/>
          </w:tcPr>
          <w:p w14:paraId="338D9762" w14:textId="77777777" w:rsidR="00BA6B83" w:rsidRPr="00BA5C85" w:rsidRDefault="00BA6B83" w:rsidP="008C67EB">
            <w:pPr>
              <w:keepNext/>
              <w:spacing w:before="0" w:after="0"/>
              <w:rPr>
                <w:bCs/>
              </w:rPr>
            </w:pPr>
            <w:r w:rsidRPr="00BA5C85">
              <w:rPr>
                <w:bCs/>
              </w:rPr>
              <w:t>Datum:</w:t>
            </w:r>
          </w:p>
        </w:tc>
        <w:tc>
          <w:tcPr>
            <w:tcW w:w="643" w:type="pct"/>
            <w:tcBorders>
              <w:top w:val="nil"/>
              <w:bottom w:val="single" w:sz="4" w:space="0" w:color="auto"/>
            </w:tcBorders>
            <w:shd w:val="clear" w:color="auto" w:fill="FFF2CC"/>
            <w:vAlign w:val="bottom"/>
          </w:tcPr>
          <w:p w14:paraId="59F55CA6" w14:textId="77777777" w:rsidR="00BA6B83" w:rsidRPr="00BA5C85" w:rsidRDefault="00BA6B83" w:rsidP="008C67EB">
            <w:pPr>
              <w:keepNext/>
              <w:spacing w:before="0" w:after="0"/>
              <w:rPr>
                <w:bCs/>
              </w:rPr>
            </w:pPr>
            <w:r w:rsidRPr="00BA5C85">
              <w:fldChar w:fldCharType="begin">
                <w:ffData>
                  <w:name w:val="Ausgabedatum"/>
                  <w:enabled/>
                  <w:calcOnExit w:val="0"/>
                  <w:textInput/>
                </w:ffData>
              </w:fldChar>
            </w:r>
            <w:bookmarkStart w:id="2" w:name="Ausgabedatum"/>
            <w:r w:rsidRPr="00BA5C85">
              <w:instrText xml:space="preserve"> FORMTEXT </w:instrText>
            </w:r>
            <w:r w:rsidRPr="00BA5C85">
              <w:fldChar w:fldCharType="separate"/>
            </w:r>
            <w:r w:rsidR="00A05E39" w:rsidRPr="00BA5C85">
              <w:rPr>
                <w:noProof/>
              </w:rPr>
              <w:t> </w:t>
            </w:r>
            <w:r w:rsidR="00A05E39" w:rsidRPr="00BA5C85">
              <w:rPr>
                <w:noProof/>
              </w:rPr>
              <w:t> </w:t>
            </w:r>
            <w:r w:rsidR="00A05E39" w:rsidRPr="00BA5C85">
              <w:rPr>
                <w:noProof/>
              </w:rPr>
              <w:t> </w:t>
            </w:r>
            <w:r w:rsidR="00A05E39" w:rsidRPr="00BA5C85">
              <w:rPr>
                <w:noProof/>
              </w:rPr>
              <w:t> </w:t>
            </w:r>
            <w:r w:rsidR="00A05E39" w:rsidRPr="00BA5C85">
              <w:rPr>
                <w:noProof/>
              </w:rPr>
              <w:t> </w:t>
            </w:r>
            <w:r w:rsidRPr="00BA5C85">
              <w:fldChar w:fldCharType="end"/>
            </w:r>
            <w:bookmarkEnd w:id="2"/>
          </w:p>
        </w:tc>
        <w:tc>
          <w:tcPr>
            <w:tcW w:w="1180" w:type="pct"/>
            <w:tcBorders>
              <w:top w:val="nil"/>
              <w:bottom w:val="single" w:sz="4" w:space="0" w:color="auto"/>
            </w:tcBorders>
            <w:shd w:val="clear" w:color="auto" w:fill="auto"/>
            <w:vAlign w:val="bottom"/>
          </w:tcPr>
          <w:p w14:paraId="34F0222C" w14:textId="77777777" w:rsidR="00BA6B83" w:rsidRPr="00BA5C85" w:rsidRDefault="00BA6B83" w:rsidP="008C67EB">
            <w:pPr>
              <w:keepNext/>
              <w:spacing w:before="0" w:after="0"/>
              <w:rPr>
                <w:bCs/>
              </w:rPr>
            </w:pPr>
            <w:r w:rsidRPr="00BA5C85">
              <w:rPr>
                <w:bCs/>
              </w:rPr>
              <w:t>gez.</w:t>
            </w:r>
            <w:r w:rsidR="00280296">
              <w:rPr>
                <w:bCs/>
              </w:rPr>
              <w:t xml:space="preserve"> </w:t>
            </w:r>
            <w:r w:rsidR="00280296" w:rsidRPr="00C22127">
              <w:rPr>
                <w:bCs/>
                <w:i/>
                <w:caps/>
                <w:sz w:val="16"/>
              </w:rPr>
              <w:t>Name Begutachter</w:t>
            </w:r>
            <w:r w:rsidR="00280296">
              <w:rPr>
                <w:bCs/>
                <w:i/>
                <w:caps/>
                <w:sz w:val="16"/>
              </w:rPr>
              <w:t>:</w:t>
            </w:r>
          </w:p>
        </w:tc>
        <w:tc>
          <w:tcPr>
            <w:tcW w:w="1036" w:type="pct"/>
            <w:tcBorders>
              <w:top w:val="nil"/>
              <w:bottom w:val="single" w:sz="4" w:space="0" w:color="auto"/>
            </w:tcBorders>
            <w:shd w:val="clear" w:color="auto" w:fill="FFF2CC"/>
            <w:vAlign w:val="bottom"/>
          </w:tcPr>
          <w:p w14:paraId="7B5BD1F7" w14:textId="77777777" w:rsidR="00BA6B83" w:rsidRPr="00C96561" w:rsidRDefault="00BA6B83" w:rsidP="008C67EB">
            <w:pPr>
              <w:keepNext/>
              <w:spacing w:before="0" w:after="0"/>
              <w:rPr>
                <w:bCs/>
              </w:rPr>
            </w:pPr>
            <w:r w:rsidRPr="00BA5C85">
              <w:fldChar w:fldCharType="begin">
                <w:ffData>
                  <w:name w:val="gezeichnet"/>
                  <w:enabled/>
                  <w:calcOnExit w:val="0"/>
                  <w:textInput/>
                </w:ffData>
              </w:fldChar>
            </w:r>
            <w:bookmarkStart w:id="3" w:name="gezeichnet"/>
            <w:r w:rsidRPr="00BA5C85">
              <w:instrText xml:space="preserve"> FORMTEXT </w:instrText>
            </w:r>
            <w:r w:rsidRPr="00BA5C85">
              <w:fldChar w:fldCharType="separate"/>
            </w:r>
            <w:r w:rsidR="00A05E39" w:rsidRPr="00BA5C85">
              <w:rPr>
                <w:noProof/>
              </w:rPr>
              <w:t> </w:t>
            </w:r>
            <w:r w:rsidR="00A05E39" w:rsidRPr="00BA5C85">
              <w:rPr>
                <w:noProof/>
              </w:rPr>
              <w:t> </w:t>
            </w:r>
            <w:r w:rsidR="00A05E39" w:rsidRPr="00BA5C85">
              <w:rPr>
                <w:noProof/>
              </w:rPr>
              <w:t> </w:t>
            </w:r>
            <w:r w:rsidR="00A05E39" w:rsidRPr="00BA5C85">
              <w:rPr>
                <w:noProof/>
              </w:rPr>
              <w:t> </w:t>
            </w:r>
            <w:r w:rsidR="00A05E39" w:rsidRPr="00BA5C85">
              <w:rPr>
                <w:noProof/>
              </w:rPr>
              <w:t> </w:t>
            </w:r>
            <w:r w:rsidRPr="00BA5C85">
              <w:fldChar w:fldCharType="end"/>
            </w:r>
            <w:bookmarkEnd w:id="3"/>
            <w:r w:rsidR="00217084" w:rsidRPr="00BA5C85">
              <w:t xml:space="preserve"> </w:t>
            </w:r>
            <w:r w:rsidRPr="00BA5C85">
              <w:rPr>
                <w:rStyle w:val="Endnotenzeichen"/>
                <w:bCs/>
              </w:rPr>
              <w:endnoteReference w:id="5"/>
            </w:r>
          </w:p>
        </w:tc>
      </w:tr>
    </w:tbl>
    <w:p w14:paraId="7A5D4793" w14:textId="77777777" w:rsidR="003F6476" w:rsidRPr="000D6E6F" w:rsidRDefault="003F6476" w:rsidP="00280296"/>
    <w:sectPr w:rsidR="003F6476" w:rsidRPr="000D6E6F" w:rsidSect="00876CA8">
      <w:headerReference w:type="default" r:id="rId15"/>
      <w:endnotePr>
        <w:numFmt w:val="decimal"/>
      </w:endnotePr>
      <w:type w:val="continuous"/>
      <w:pgSz w:w="11906" w:h="16838" w:code="9"/>
      <w:pgMar w:top="567" w:right="1134" w:bottom="1134" w:left="1134" w:header="720" w:footer="6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A7B6" w14:textId="77777777" w:rsidR="009E1426" w:rsidRDefault="009E1426">
      <w:r>
        <w:separator/>
      </w:r>
    </w:p>
  </w:endnote>
  <w:endnote w:type="continuationSeparator" w:id="0">
    <w:p w14:paraId="21BD0BC9" w14:textId="77777777" w:rsidR="009E1426" w:rsidRDefault="009E1426">
      <w:r>
        <w:continuationSeparator/>
      </w:r>
    </w:p>
  </w:endnote>
  <w:endnote w:id="1">
    <w:p w14:paraId="3C5F9C78" w14:textId="77777777" w:rsidR="009E1426" w:rsidRDefault="009E1426" w:rsidP="00280296">
      <w:pPr>
        <w:pStyle w:val="Endnotentext"/>
        <w:keepNext/>
        <w:tabs>
          <w:tab w:val="left" w:pos="322"/>
        </w:tabs>
        <w:ind w:left="284" w:hanging="284"/>
        <w:rPr>
          <w:sz w:val="18"/>
          <w:szCs w:val="18"/>
          <w:lang w:val="de-DE"/>
        </w:rPr>
      </w:pPr>
      <w:r>
        <w:rPr>
          <w:rStyle w:val="Endnotenzeichen"/>
        </w:rPr>
        <w:endnoteRef/>
      </w:r>
      <w:r>
        <w:rPr>
          <w:sz w:val="18"/>
          <w:szCs w:val="18"/>
        </w:rPr>
        <w:tab/>
      </w:r>
      <w:r>
        <w:rPr>
          <w:sz w:val="18"/>
          <w:szCs w:val="18"/>
          <w:lang w:val="de-DE"/>
        </w:rPr>
        <w:t>Unter Begutachtungstyp ist die Art der Begutachtung/die Begutachtungstechnik anzugeben, wobei mehrere Begutachtungs</w:t>
      </w:r>
      <w:r>
        <w:rPr>
          <w:sz w:val="18"/>
          <w:szCs w:val="18"/>
          <w:lang w:val="de-DE"/>
        </w:rPr>
        <w:softHyphen/>
        <w:t xml:space="preserve">typen im Rahmen einer Begutachtung zum Tragen kommen können. Bitte wählen Sie aus den folgenden Möglichkeiten das zutreffende Element bzw. die zutreffende Kombination von Elementen für die Angabe des Begutachtungstyps aus: </w:t>
      </w:r>
    </w:p>
    <w:p w14:paraId="3B028AB9" w14:textId="77777777" w:rsidR="009E1426" w:rsidRDefault="009E1426">
      <w:pPr>
        <w:pStyle w:val="Endnotentext"/>
        <w:tabs>
          <w:tab w:val="left" w:pos="322"/>
        </w:tabs>
        <w:ind w:left="426"/>
        <w:rPr>
          <w:sz w:val="18"/>
          <w:szCs w:val="18"/>
          <w:lang w:val="de-DE"/>
        </w:rPr>
      </w:pPr>
      <w:r>
        <w:rPr>
          <w:sz w:val="18"/>
          <w:szCs w:val="18"/>
          <w:lang w:val="de-DE"/>
        </w:rPr>
        <w:t>Vor-Ort-Begutachtung / Fernbegutachtung / Witness-Audit (Vor-Ort) / Witness-Audit (Fernbegutachtung) / Witness-Prüfung / Dokumentenprüfung / Sonstige Begutachtungstätigkeit (bitte ggf. präzisieren)</w:t>
      </w:r>
    </w:p>
  </w:endnote>
  <w:endnote w:id="2">
    <w:p w14:paraId="6B90C0F5" w14:textId="77777777" w:rsidR="009E1426" w:rsidRPr="00F30353" w:rsidRDefault="009E1426" w:rsidP="00D356C9">
      <w:pPr>
        <w:pStyle w:val="Endnotentext"/>
        <w:spacing w:before="60" w:after="0"/>
        <w:ind w:left="284" w:hanging="284"/>
        <w:rPr>
          <w:sz w:val="18"/>
          <w:szCs w:val="18"/>
        </w:rPr>
      </w:pPr>
      <w:r w:rsidRPr="00F30353">
        <w:rPr>
          <w:rStyle w:val="Endnotenzeichen"/>
          <w:sz w:val="18"/>
          <w:szCs w:val="18"/>
        </w:rPr>
        <w:endnoteRef/>
      </w:r>
      <w:r>
        <w:rPr>
          <w:sz w:val="18"/>
          <w:szCs w:val="18"/>
        </w:rPr>
        <w:tab/>
      </w:r>
      <w:r>
        <w:rPr>
          <w:sz w:val="18"/>
          <w:szCs w:val="18"/>
          <w:lang w:val="de-DE"/>
        </w:rPr>
        <w:t>Status im Begutachterteam</w:t>
      </w:r>
      <w:r w:rsidRPr="00F30353">
        <w:rPr>
          <w:sz w:val="18"/>
          <w:szCs w:val="18"/>
        </w:rPr>
        <w:t xml:space="preserve">: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w:t>
      </w:r>
    </w:p>
  </w:endnote>
  <w:endnote w:id="3">
    <w:p w14:paraId="2B476A78" w14:textId="77777777" w:rsidR="009E1426" w:rsidRPr="009E63A2" w:rsidRDefault="009E1426" w:rsidP="00D356C9">
      <w:pPr>
        <w:pStyle w:val="Endnotentext"/>
        <w:spacing w:before="60" w:after="0"/>
        <w:ind w:left="284" w:hanging="284"/>
        <w:rPr>
          <w:sz w:val="18"/>
          <w:szCs w:val="18"/>
          <w:lang w:val="de-DE"/>
        </w:rPr>
      </w:pPr>
      <w:r w:rsidRPr="00E7433E">
        <w:rPr>
          <w:rStyle w:val="Endnotenzeichen"/>
          <w:sz w:val="18"/>
          <w:szCs w:val="18"/>
        </w:rPr>
        <w:endnoteRef/>
      </w:r>
      <w:r w:rsidRPr="00E7433E">
        <w:rPr>
          <w:sz w:val="18"/>
          <w:szCs w:val="18"/>
        </w:rPr>
        <w:tab/>
        <w:t xml:space="preserve">Die speziellen Kriterien sind </w:t>
      </w:r>
      <w:r>
        <w:rPr>
          <w:sz w:val="18"/>
          <w:szCs w:val="18"/>
          <w:lang w:val="de-DE"/>
        </w:rPr>
        <w:t>sowohl im Anhang der VO 2019/881, als auch in den einschlägigen „State-Of-The-Art-Dokumenten für Zertifizierungsstellen und ITSEFs zu finden.</w:t>
      </w:r>
    </w:p>
  </w:endnote>
  <w:endnote w:id="4">
    <w:p w14:paraId="52BED4F2" w14:textId="77777777" w:rsidR="009E1426" w:rsidRPr="004F4F98" w:rsidRDefault="009E1426" w:rsidP="004038A5">
      <w:pPr>
        <w:pStyle w:val="Endnotentext"/>
        <w:spacing w:before="60" w:after="0"/>
        <w:ind w:left="170" w:hanging="170"/>
        <w:rPr>
          <w:sz w:val="18"/>
          <w:szCs w:val="18"/>
          <w:lang w:val="de-DE"/>
        </w:rPr>
      </w:pPr>
      <w:r>
        <w:rPr>
          <w:rStyle w:val="Endnotenzeichen"/>
        </w:rPr>
        <w:endnoteRef/>
      </w:r>
      <w:r>
        <w:tab/>
      </w:r>
      <w:r w:rsidRPr="004F4F98">
        <w:rPr>
          <w:sz w:val="18"/>
          <w:szCs w:val="18"/>
          <w:lang w:val="de-DE"/>
        </w:rPr>
        <w:t xml:space="preserve">Die Bewertung der Erfüllung der Anforderungen sowie die Empfehlung zur Akkreditierung sind im Begutachtungsbericht zur </w:t>
      </w:r>
      <w:r w:rsidRPr="004F4F98">
        <w:rPr>
          <w:sz w:val="18"/>
          <w:szCs w:val="18"/>
        </w:rPr>
        <w:t>DIN EN ISO/IEC </w:t>
      </w:r>
      <w:r w:rsidRPr="004F4F98">
        <w:rPr>
          <w:sz w:val="18"/>
          <w:szCs w:val="18"/>
          <w:lang w:val="de-DE"/>
        </w:rPr>
        <w:t xml:space="preserve">17025 bzw. im Begutachtungsbericht zur </w:t>
      </w:r>
      <w:r w:rsidRPr="004F4F98">
        <w:rPr>
          <w:sz w:val="18"/>
          <w:szCs w:val="18"/>
        </w:rPr>
        <w:t>DIN EN ISO/IEC </w:t>
      </w:r>
      <w:r w:rsidRPr="004F4F98">
        <w:rPr>
          <w:sz w:val="18"/>
          <w:szCs w:val="18"/>
          <w:lang w:val="de-DE"/>
        </w:rPr>
        <w:t>17065 dokumentiert.</w:t>
      </w:r>
    </w:p>
  </w:endnote>
  <w:endnote w:id="5">
    <w:p w14:paraId="7DFC1F0D" w14:textId="77777777" w:rsidR="009E1426" w:rsidRPr="006D50EC" w:rsidRDefault="009E1426" w:rsidP="004038A5">
      <w:pPr>
        <w:pStyle w:val="Endnotentext"/>
        <w:tabs>
          <w:tab w:val="left" w:pos="284"/>
        </w:tabs>
        <w:spacing w:before="60" w:after="0"/>
        <w:ind w:left="170" w:hanging="170"/>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C56DFD">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C56DFD">
        <w:rPr>
          <w:sz w:val="18"/>
          <w:szCs w:val="18"/>
          <w:lang w:val="de-DE"/>
        </w:rPr>
        <w:t xml:space="preserve">     </w:t>
      </w:r>
      <w:r w:rsidRPr="006D50EC">
        <w:rPr>
          <w:sz w:val="18"/>
          <w:szCs w:val="18"/>
          <w:lang w:val="de-DE"/>
        </w:rPr>
        <w:fldChar w:fldCharType="end"/>
      </w:r>
      <w:r>
        <w:rPr>
          <w:sz w:val="18"/>
          <w:szCs w:val="18"/>
          <w:lang w:val="de-DE"/>
        </w:rPr>
        <w:t xml:space="preserve"> erstellt</w:t>
      </w:r>
      <w:r w:rsidRPr="006D50EC">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5136" w14:textId="34E08A69" w:rsidR="009E1426" w:rsidRPr="0032709B" w:rsidRDefault="009E1426" w:rsidP="00A05E39">
    <w:pPr>
      <w:pStyle w:val="Fuzeile"/>
      <w:tabs>
        <w:tab w:val="clear" w:pos="4536"/>
        <w:tab w:val="clear" w:pos="9072"/>
        <w:tab w:val="center" w:pos="5529"/>
        <w:tab w:val="right" w:pos="9921"/>
      </w:tabs>
      <w:rPr>
        <w:b/>
        <w:sz w:val="18"/>
        <w:szCs w:val="18"/>
      </w:rPr>
    </w:pPr>
    <w:r>
      <w:rPr>
        <w:b/>
        <w:sz w:val="18"/>
        <w:szCs w:val="18"/>
      </w:rPr>
      <w:t xml:space="preserve">FO-B_PL_ZE_EU-Cyber_Security_Act </w:t>
    </w:r>
    <w:r>
      <w:rPr>
        <w:sz w:val="18"/>
        <w:szCs w:val="18"/>
      </w:rPr>
      <w:t>/ Rev. 1.</w:t>
    </w:r>
    <w:r w:rsidR="009B26A0">
      <w:rPr>
        <w:sz w:val="18"/>
        <w:szCs w:val="18"/>
      </w:rPr>
      <w:t>1</w:t>
    </w:r>
    <w:r>
      <w:rPr>
        <w:sz w:val="18"/>
        <w:szCs w:val="18"/>
      </w:rPr>
      <w:t xml:space="preserve"> / </w:t>
    </w:r>
    <w:r w:rsidR="009B26A0">
      <w:rPr>
        <w:sz w:val="18"/>
        <w:szCs w:val="18"/>
      </w:rPr>
      <w:t>14.06</w:t>
    </w:r>
    <w:r>
      <w:rPr>
        <w:sz w:val="18"/>
        <w:szCs w:val="18"/>
      </w:rPr>
      <w:t>.2024</w:t>
    </w:r>
    <w:r w:rsidRPr="0032709B">
      <w:rPr>
        <w:sz w:val="18"/>
        <w:szCs w:val="18"/>
      </w:rPr>
      <w:tab/>
      <w:t xml:space="preserve">Ausgabedatum:  </w:t>
    </w:r>
    <w:r w:rsidRPr="0032709B">
      <w:rPr>
        <w:sz w:val="18"/>
        <w:szCs w:val="18"/>
      </w:rPr>
      <w:fldChar w:fldCharType="begin"/>
    </w:r>
    <w:r w:rsidRPr="0032709B">
      <w:rPr>
        <w:sz w:val="18"/>
        <w:szCs w:val="18"/>
      </w:rPr>
      <w:instrText xml:space="preserve"> REF Ausgabedatum \h  \* CHARFORMAT  \* MERGEFORMAT </w:instrText>
    </w:r>
    <w:r w:rsidRPr="0032709B">
      <w:rPr>
        <w:sz w:val="18"/>
        <w:szCs w:val="18"/>
      </w:rPr>
    </w:r>
    <w:r w:rsidRPr="0032709B">
      <w:rPr>
        <w:sz w:val="18"/>
        <w:szCs w:val="18"/>
      </w:rPr>
      <w:fldChar w:fldCharType="separate"/>
    </w:r>
    <w:r w:rsidRPr="00C56DFD">
      <w:rPr>
        <w:sz w:val="18"/>
        <w:szCs w:val="18"/>
      </w:rPr>
      <w:t xml:space="preserve">     </w:t>
    </w:r>
    <w:r w:rsidRPr="0032709B">
      <w:rPr>
        <w:sz w:val="18"/>
        <w:szCs w:val="18"/>
      </w:rPr>
      <w:fldChar w:fldCharType="end"/>
    </w:r>
    <w:r w:rsidRPr="0032709B">
      <w:rPr>
        <w:sz w:val="18"/>
        <w:szCs w:val="18"/>
      </w:rPr>
      <w:t xml:space="preserve">  </w:t>
    </w:r>
    <w:r w:rsidRPr="0032709B">
      <w:rPr>
        <w:sz w:val="18"/>
        <w:szCs w:val="18"/>
      </w:rPr>
      <w:tab/>
      <w:t xml:space="preserve">Seite </w:t>
    </w:r>
    <w:r w:rsidRPr="0032709B">
      <w:rPr>
        <w:sz w:val="18"/>
        <w:szCs w:val="18"/>
      </w:rPr>
      <w:fldChar w:fldCharType="begin"/>
    </w:r>
    <w:r w:rsidRPr="0032709B">
      <w:rPr>
        <w:sz w:val="18"/>
        <w:szCs w:val="18"/>
      </w:rPr>
      <w:instrText xml:space="preserve"> PAGE </w:instrText>
    </w:r>
    <w:r w:rsidRPr="0032709B">
      <w:rPr>
        <w:sz w:val="18"/>
        <w:szCs w:val="18"/>
      </w:rPr>
      <w:fldChar w:fldCharType="separate"/>
    </w:r>
    <w:r>
      <w:rPr>
        <w:noProof/>
        <w:sz w:val="18"/>
        <w:szCs w:val="18"/>
      </w:rPr>
      <w:t>1</w:t>
    </w:r>
    <w:r w:rsidRPr="0032709B">
      <w:rPr>
        <w:sz w:val="18"/>
        <w:szCs w:val="18"/>
      </w:rPr>
      <w:fldChar w:fldCharType="end"/>
    </w:r>
    <w:r w:rsidRPr="0032709B">
      <w:rPr>
        <w:sz w:val="18"/>
        <w:szCs w:val="18"/>
      </w:rPr>
      <w:t xml:space="preserve"> von </w:t>
    </w:r>
    <w:r w:rsidRPr="0032709B">
      <w:rPr>
        <w:sz w:val="18"/>
        <w:szCs w:val="18"/>
      </w:rPr>
      <w:fldChar w:fldCharType="begin"/>
    </w:r>
    <w:r w:rsidRPr="0032709B">
      <w:rPr>
        <w:sz w:val="18"/>
        <w:szCs w:val="18"/>
      </w:rPr>
      <w:instrText xml:space="preserve"> NUMPAGES </w:instrText>
    </w:r>
    <w:r w:rsidRPr="0032709B">
      <w:rPr>
        <w:sz w:val="18"/>
        <w:szCs w:val="18"/>
      </w:rPr>
      <w:fldChar w:fldCharType="separate"/>
    </w:r>
    <w:r>
      <w:rPr>
        <w:noProof/>
        <w:sz w:val="18"/>
        <w:szCs w:val="18"/>
      </w:rPr>
      <w:t>6</w:t>
    </w:r>
    <w:r w:rsidRPr="003270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5"/>
      <w:gridCol w:w="3347"/>
      <w:gridCol w:w="1709"/>
    </w:tblGrid>
    <w:tr w:rsidR="009E1426" w14:paraId="47951907" w14:textId="77777777" w:rsidTr="00F56DF7">
      <w:tc>
        <w:tcPr>
          <w:tcW w:w="4928" w:type="dxa"/>
        </w:tcPr>
        <w:p w14:paraId="481F801A" w14:textId="77777777" w:rsidR="009E1426" w:rsidRDefault="009E1426"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14:paraId="7B82402E" w14:textId="77777777" w:rsidR="009E1426" w:rsidRDefault="009E1426"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C56DFD">
            <w:rPr>
              <w:noProof/>
              <w:szCs w:val="22"/>
            </w:rPr>
            <w:t xml:space="preserve">     </w:t>
          </w:r>
          <w:r w:rsidRPr="00F56DF7">
            <w:rPr>
              <w:sz w:val="18"/>
              <w:szCs w:val="18"/>
            </w:rPr>
            <w:fldChar w:fldCharType="end"/>
          </w:r>
          <w:r w:rsidRPr="00F56DF7">
            <w:rPr>
              <w:sz w:val="18"/>
              <w:szCs w:val="18"/>
            </w:rPr>
            <w:t xml:space="preserve">  </w:t>
          </w:r>
        </w:p>
      </w:tc>
      <w:tc>
        <w:tcPr>
          <w:tcW w:w="1731" w:type="dxa"/>
        </w:tcPr>
        <w:p w14:paraId="4EE523A4" w14:textId="77777777" w:rsidR="009E1426" w:rsidRDefault="009E1426"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14:paraId="3DEE0233" w14:textId="77777777" w:rsidR="009E1426" w:rsidRPr="009F243B" w:rsidRDefault="009E1426"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06D1" w14:textId="77777777" w:rsidR="009E1426" w:rsidRDefault="009E1426">
      <w:r>
        <w:separator/>
      </w:r>
    </w:p>
  </w:footnote>
  <w:footnote w:type="continuationSeparator" w:id="0">
    <w:p w14:paraId="137B2781" w14:textId="77777777" w:rsidR="009E1426" w:rsidRDefault="009E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667B" w14:textId="77777777" w:rsidR="009E1426" w:rsidRDefault="00650B37">
    <w:pPr>
      <w:pStyle w:val="Kopfzeile"/>
    </w:pPr>
    <w:r>
      <w:rPr>
        <w:noProof/>
      </w:rPr>
      <w:pict w14:anchorId="16949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2"/>
      <w:gridCol w:w="4536"/>
      <w:gridCol w:w="1701"/>
      <w:gridCol w:w="1269"/>
    </w:tblGrid>
    <w:tr w:rsidR="009E1426" w:rsidRPr="00EF56D9" w14:paraId="29A9D67E" w14:textId="77777777" w:rsidTr="00F64339">
      <w:trPr>
        <w:cantSplit/>
        <w:trHeight w:val="355"/>
      </w:trPr>
      <w:tc>
        <w:tcPr>
          <w:tcW w:w="2122" w:type="dxa"/>
          <w:vMerge w:val="restart"/>
          <w:vAlign w:val="center"/>
        </w:tcPr>
        <w:p w14:paraId="786CDDC5" w14:textId="77777777" w:rsidR="009E1426" w:rsidRPr="00A128BC" w:rsidRDefault="009E1426"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5EB3FAB9" wp14:editId="39A66FE9">
                <wp:extent cx="1104900" cy="469900"/>
                <wp:effectExtent l="0" t="0" r="0" b="635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536" w:type="dxa"/>
          <w:vMerge w:val="restart"/>
          <w:vAlign w:val="center"/>
        </w:tcPr>
        <w:p w14:paraId="0384C2A2" w14:textId="77777777" w:rsidR="009E1426" w:rsidRPr="00181DD4" w:rsidRDefault="009E1426" w:rsidP="00F04EE8">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w:t>
          </w:r>
          <w:r>
            <w:rPr>
              <w:rFonts w:ascii="Calibri" w:hAnsi="Calibri"/>
              <w:b/>
              <w:sz w:val="24"/>
              <w:szCs w:val="24"/>
              <w:lang w:val="de-DE" w:eastAsia="de-DE"/>
            </w:rPr>
            <w:t>/Bericht</w:t>
          </w:r>
          <w:r w:rsidRPr="00181DD4">
            <w:rPr>
              <w:rFonts w:ascii="Calibri" w:hAnsi="Calibri"/>
              <w:b/>
              <w:sz w:val="24"/>
              <w:szCs w:val="24"/>
              <w:lang w:val="de-DE" w:eastAsia="de-DE"/>
            </w:rPr>
            <w:t xml:space="preserve"> für die speziellen Kriterien</w:t>
          </w:r>
          <w:r>
            <w:rPr>
              <w:rFonts w:ascii="Calibri" w:hAnsi="Calibri"/>
              <w:b/>
              <w:sz w:val="24"/>
              <w:szCs w:val="24"/>
              <w:lang w:val="de-DE" w:eastAsia="de-DE"/>
            </w:rPr>
            <w:t xml:space="preserve"> </w:t>
          </w:r>
          <w:r w:rsidRPr="00181DD4">
            <w:rPr>
              <w:rFonts w:ascii="Calibri" w:hAnsi="Calibri"/>
              <w:b/>
              <w:sz w:val="24"/>
              <w:szCs w:val="24"/>
              <w:lang w:val="de-DE" w:eastAsia="de-DE"/>
            </w:rPr>
            <w:t>für Prüflabor</w:t>
          </w:r>
          <w:r>
            <w:rPr>
              <w:rFonts w:ascii="Calibri" w:hAnsi="Calibri"/>
              <w:b/>
              <w:sz w:val="24"/>
              <w:szCs w:val="24"/>
              <w:lang w:val="de-DE" w:eastAsia="de-DE"/>
            </w:rPr>
            <w:t>atorien</w:t>
          </w:r>
          <w:r w:rsidRPr="00181DD4">
            <w:rPr>
              <w:rFonts w:ascii="Calibri" w:hAnsi="Calibri"/>
              <w:b/>
              <w:sz w:val="24"/>
              <w:szCs w:val="24"/>
              <w:lang w:val="de-DE" w:eastAsia="de-DE"/>
            </w:rPr>
            <w:t xml:space="preserve"> oder Zertifizierungsstellen</w:t>
          </w:r>
          <w:r>
            <w:rPr>
              <w:rFonts w:ascii="Calibri" w:hAnsi="Calibri"/>
              <w:b/>
              <w:sz w:val="24"/>
              <w:szCs w:val="24"/>
              <w:lang w:val="de-DE" w:eastAsia="de-DE"/>
            </w:rPr>
            <w:t xml:space="preserve"> </w:t>
          </w:r>
          <w:r w:rsidRPr="00181DD4">
            <w:rPr>
              <w:rFonts w:ascii="Calibri" w:hAnsi="Calibri"/>
              <w:b/>
              <w:sz w:val="24"/>
              <w:szCs w:val="24"/>
              <w:lang w:val="de-DE" w:eastAsia="de-DE"/>
            </w:rPr>
            <w:t xml:space="preserve">nach </w:t>
          </w:r>
          <w:r>
            <w:rPr>
              <w:rFonts w:ascii="Calibri" w:hAnsi="Calibri"/>
              <w:b/>
              <w:sz w:val="24"/>
              <w:szCs w:val="24"/>
              <w:lang w:val="de-DE" w:eastAsia="de-DE"/>
            </w:rPr>
            <w:t>VO 2019/881 (Cyber Security Act)</w:t>
          </w:r>
        </w:p>
      </w:tc>
      <w:tc>
        <w:tcPr>
          <w:tcW w:w="1701" w:type="dxa"/>
          <w:vAlign w:val="center"/>
        </w:tcPr>
        <w:p w14:paraId="172B8244" w14:textId="5B8B2317" w:rsidR="009E1426" w:rsidRPr="00A128BC" w:rsidRDefault="009E1426"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269" w:type="dxa"/>
          <w:vAlign w:val="center"/>
        </w:tcPr>
        <w:p w14:paraId="7B313421" w14:textId="12DE9582" w:rsidR="009E1426" w:rsidRPr="00A128BC" w:rsidRDefault="009E1426"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E1426" w:rsidRPr="00EF56D9" w14:paraId="0D9F5133" w14:textId="77777777" w:rsidTr="00F64339">
      <w:trPr>
        <w:cantSplit/>
        <w:trHeight w:val="355"/>
      </w:trPr>
      <w:tc>
        <w:tcPr>
          <w:tcW w:w="2122" w:type="dxa"/>
          <w:vMerge/>
          <w:vAlign w:val="center"/>
        </w:tcPr>
        <w:p w14:paraId="73966707" w14:textId="77777777" w:rsidR="009E1426" w:rsidRPr="00A128BC" w:rsidRDefault="009E1426" w:rsidP="00E31FAC">
          <w:pPr>
            <w:pStyle w:val="Kopfzeile"/>
            <w:jc w:val="center"/>
            <w:rPr>
              <w:rFonts w:ascii="Calibri" w:hAnsi="Calibri"/>
              <w:b/>
              <w:sz w:val="22"/>
              <w:lang w:val="de-DE" w:eastAsia="de-DE"/>
            </w:rPr>
          </w:pPr>
        </w:p>
      </w:tc>
      <w:tc>
        <w:tcPr>
          <w:tcW w:w="4536" w:type="dxa"/>
          <w:vMerge/>
          <w:vAlign w:val="center"/>
        </w:tcPr>
        <w:p w14:paraId="6BFB6DC7" w14:textId="77777777" w:rsidR="009E1426" w:rsidRPr="00A128BC" w:rsidRDefault="009E1426" w:rsidP="00E31FAC">
          <w:pPr>
            <w:pStyle w:val="Kopfzeile"/>
            <w:jc w:val="center"/>
            <w:rPr>
              <w:rFonts w:ascii="Calibri" w:hAnsi="Calibri" w:cs="Arial"/>
              <w:b/>
              <w:sz w:val="28"/>
              <w:szCs w:val="28"/>
              <w:lang w:val="de-DE" w:eastAsia="de-DE"/>
            </w:rPr>
          </w:pPr>
        </w:p>
      </w:tc>
      <w:tc>
        <w:tcPr>
          <w:tcW w:w="2970" w:type="dxa"/>
          <w:gridSpan w:val="2"/>
          <w:vAlign w:val="center"/>
        </w:tcPr>
        <w:p w14:paraId="27AF5D69" w14:textId="0FDA56C0" w:rsidR="009E1426" w:rsidRPr="008D5478" w:rsidRDefault="009E1426"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14:paraId="33FAD304" w14:textId="77777777" w:rsidR="009E1426" w:rsidRPr="000B097B" w:rsidRDefault="009E1426" w:rsidP="000B097B">
    <w:pPr>
      <w:spacing w:before="0" w:after="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9E1426" w:rsidRPr="00EF56D9" w14:paraId="7E40F61B" w14:textId="77777777" w:rsidTr="000B0B61">
      <w:trPr>
        <w:cantSplit/>
        <w:trHeight w:val="355"/>
      </w:trPr>
      <w:tc>
        <w:tcPr>
          <w:tcW w:w="2127" w:type="dxa"/>
          <w:vMerge w:val="restart"/>
          <w:vAlign w:val="center"/>
        </w:tcPr>
        <w:p w14:paraId="056FDD85" w14:textId="77777777" w:rsidR="009E1426" w:rsidRPr="00A128BC" w:rsidRDefault="009E1426"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1201C47" wp14:editId="07E9B972">
                <wp:extent cx="1104900" cy="469900"/>
                <wp:effectExtent l="0" t="0" r="0" b="635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103" w:type="dxa"/>
          <w:vMerge w:val="restart"/>
          <w:vAlign w:val="center"/>
        </w:tcPr>
        <w:p w14:paraId="2F91F270" w14:textId="77777777" w:rsidR="009E1426" w:rsidRPr="00A128BC" w:rsidRDefault="009E1426"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14:paraId="0D0E723B" w14:textId="77777777" w:rsidR="009E1426" w:rsidRPr="00A128BC" w:rsidRDefault="009E1426" w:rsidP="00234062">
          <w:pPr>
            <w:pStyle w:val="Kopfzeile"/>
            <w:jc w:val="center"/>
            <w:rPr>
              <w:rFonts w:ascii="Calibri" w:hAnsi="Calibri" w:cs="Arial"/>
              <w:b/>
              <w:sz w:val="22"/>
              <w:szCs w:val="22"/>
              <w:lang w:val="de-DE" w:eastAsia="de-DE"/>
            </w:rPr>
          </w:pPr>
        </w:p>
      </w:tc>
    </w:tr>
    <w:tr w:rsidR="009E1426" w:rsidRPr="00EF56D9" w14:paraId="0620499C" w14:textId="77777777" w:rsidTr="000B0B61">
      <w:trPr>
        <w:cantSplit/>
        <w:trHeight w:val="355"/>
      </w:trPr>
      <w:tc>
        <w:tcPr>
          <w:tcW w:w="2127" w:type="dxa"/>
          <w:vMerge/>
          <w:vAlign w:val="center"/>
        </w:tcPr>
        <w:p w14:paraId="1D2E5E40" w14:textId="77777777" w:rsidR="009E1426" w:rsidRPr="00A128BC" w:rsidRDefault="009E1426" w:rsidP="00BE084E">
          <w:pPr>
            <w:pStyle w:val="Kopfzeile"/>
            <w:jc w:val="center"/>
            <w:rPr>
              <w:rFonts w:ascii="Calibri" w:hAnsi="Calibri"/>
              <w:b/>
              <w:sz w:val="22"/>
              <w:lang w:val="de-DE" w:eastAsia="de-DE"/>
            </w:rPr>
          </w:pPr>
        </w:p>
      </w:tc>
      <w:tc>
        <w:tcPr>
          <w:tcW w:w="5103" w:type="dxa"/>
          <w:vMerge/>
          <w:vAlign w:val="center"/>
        </w:tcPr>
        <w:p w14:paraId="16E27B38" w14:textId="77777777" w:rsidR="009E1426" w:rsidRPr="00A128BC" w:rsidRDefault="009E1426" w:rsidP="00BE084E">
          <w:pPr>
            <w:pStyle w:val="Kopfzeile"/>
            <w:jc w:val="center"/>
            <w:rPr>
              <w:rFonts w:ascii="Calibri" w:hAnsi="Calibri" w:cs="Arial"/>
              <w:b/>
              <w:sz w:val="28"/>
              <w:szCs w:val="28"/>
              <w:lang w:val="de-DE" w:eastAsia="de-DE"/>
            </w:rPr>
          </w:pPr>
        </w:p>
      </w:tc>
      <w:tc>
        <w:tcPr>
          <w:tcW w:w="2693" w:type="dxa"/>
          <w:vAlign w:val="center"/>
        </w:tcPr>
        <w:p w14:paraId="099DCF24" w14:textId="77777777" w:rsidR="009E1426" w:rsidRPr="00A128BC" w:rsidRDefault="009E1426" w:rsidP="00BE084E">
          <w:pPr>
            <w:pStyle w:val="Kopfzeile"/>
            <w:jc w:val="center"/>
            <w:rPr>
              <w:rFonts w:ascii="Calibri" w:hAnsi="Calibri" w:cs="Arial"/>
              <w:b/>
              <w:sz w:val="22"/>
              <w:szCs w:val="22"/>
              <w:lang w:val="de-DE" w:eastAsia="de-DE"/>
            </w:rPr>
          </w:pPr>
        </w:p>
      </w:tc>
    </w:tr>
  </w:tbl>
  <w:p w14:paraId="1FB49B9F" w14:textId="77777777" w:rsidR="009E1426" w:rsidRDefault="009E142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2"/>
      <w:gridCol w:w="4536"/>
      <w:gridCol w:w="1701"/>
      <w:gridCol w:w="1269"/>
    </w:tblGrid>
    <w:tr w:rsidR="009E1426" w:rsidRPr="00EF56D9" w14:paraId="06A0429E" w14:textId="77777777" w:rsidTr="00C56DFD">
      <w:trPr>
        <w:cantSplit/>
        <w:trHeight w:val="355"/>
      </w:trPr>
      <w:tc>
        <w:tcPr>
          <w:tcW w:w="2122" w:type="dxa"/>
          <w:vMerge w:val="restart"/>
          <w:vAlign w:val="center"/>
        </w:tcPr>
        <w:p w14:paraId="536BEADE" w14:textId="77777777" w:rsidR="009E1426" w:rsidRPr="00A128BC" w:rsidRDefault="009E1426" w:rsidP="00F6433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2C7C023D" wp14:editId="2C6E9E00">
                <wp:extent cx="1104900" cy="469900"/>
                <wp:effectExtent l="0" t="0" r="0" b="6350"/>
                <wp:docPr id="1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536" w:type="dxa"/>
          <w:vMerge w:val="restart"/>
          <w:vAlign w:val="center"/>
        </w:tcPr>
        <w:p w14:paraId="6E1E36F7" w14:textId="77777777" w:rsidR="009E1426" w:rsidRPr="00181DD4" w:rsidRDefault="009E1426" w:rsidP="00F64339">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w:t>
          </w:r>
          <w:r>
            <w:rPr>
              <w:rFonts w:ascii="Calibri" w:hAnsi="Calibri"/>
              <w:b/>
              <w:sz w:val="24"/>
              <w:szCs w:val="24"/>
              <w:lang w:val="de-DE" w:eastAsia="de-DE"/>
            </w:rPr>
            <w:t>/Bericht</w:t>
          </w:r>
          <w:r w:rsidRPr="00181DD4">
            <w:rPr>
              <w:rFonts w:ascii="Calibri" w:hAnsi="Calibri"/>
              <w:b/>
              <w:sz w:val="24"/>
              <w:szCs w:val="24"/>
              <w:lang w:val="de-DE" w:eastAsia="de-DE"/>
            </w:rPr>
            <w:t xml:space="preserve"> für die speziellen Kriterien</w:t>
          </w:r>
          <w:r>
            <w:rPr>
              <w:rFonts w:ascii="Calibri" w:hAnsi="Calibri"/>
              <w:b/>
              <w:sz w:val="24"/>
              <w:szCs w:val="24"/>
              <w:lang w:val="de-DE" w:eastAsia="de-DE"/>
            </w:rPr>
            <w:t xml:space="preserve"> </w:t>
          </w:r>
          <w:r w:rsidRPr="00181DD4">
            <w:rPr>
              <w:rFonts w:ascii="Calibri" w:hAnsi="Calibri"/>
              <w:b/>
              <w:sz w:val="24"/>
              <w:szCs w:val="24"/>
              <w:lang w:val="de-DE" w:eastAsia="de-DE"/>
            </w:rPr>
            <w:t>für Prüflabor</w:t>
          </w:r>
          <w:r>
            <w:rPr>
              <w:rFonts w:ascii="Calibri" w:hAnsi="Calibri"/>
              <w:b/>
              <w:sz w:val="24"/>
              <w:szCs w:val="24"/>
              <w:lang w:val="de-DE" w:eastAsia="de-DE"/>
            </w:rPr>
            <w:t>atorien</w:t>
          </w:r>
          <w:r w:rsidRPr="00181DD4">
            <w:rPr>
              <w:rFonts w:ascii="Calibri" w:hAnsi="Calibri"/>
              <w:b/>
              <w:sz w:val="24"/>
              <w:szCs w:val="24"/>
              <w:lang w:val="de-DE" w:eastAsia="de-DE"/>
            </w:rPr>
            <w:t xml:space="preserve"> oder Zertifizierungsstellen</w:t>
          </w:r>
          <w:r>
            <w:rPr>
              <w:rFonts w:ascii="Calibri" w:hAnsi="Calibri"/>
              <w:b/>
              <w:sz w:val="24"/>
              <w:szCs w:val="24"/>
              <w:lang w:val="de-DE" w:eastAsia="de-DE"/>
            </w:rPr>
            <w:t xml:space="preserve"> </w:t>
          </w:r>
          <w:r w:rsidRPr="00181DD4">
            <w:rPr>
              <w:rFonts w:ascii="Calibri" w:hAnsi="Calibri"/>
              <w:b/>
              <w:sz w:val="24"/>
              <w:szCs w:val="24"/>
              <w:lang w:val="de-DE" w:eastAsia="de-DE"/>
            </w:rPr>
            <w:t xml:space="preserve">nach </w:t>
          </w:r>
          <w:r>
            <w:rPr>
              <w:rFonts w:ascii="Calibri" w:hAnsi="Calibri"/>
              <w:b/>
              <w:sz w:val="24"/>
              <w:szCs w:val="24"/>
              <w:lang w:val="de-DE" w:eastAsia="de-DE"/>
            </w:rPr>
            <w:t>VO 2019/881 (Cyber Security Act)</w:t>
          </w:r>
        </w:p>
      </w:tc>
      <w:tc>
        <w:tcPr>
          <w:tcW w:w="1701" w:type="dxa"/>
          <w:vAlign w:val="center"/>
        </w:tcPr>
        <w:p w14:paraId="182F8649" w14:textId="749925DB" w:rsidR="009E1426" w:rsidRPr="00A128BC"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269" w:type="dxa"/>
          <w:vAlign w:val="center"/>
        </w:tcPr>
        <w:p w14:paraId="723F6F5D" w14:textId="0032FB48" w:rsidR="009E1426" w:rsidRPr="00A128BC"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E1426" w:rsidRPr="00EF56D9" w14:paraId="7FB335CE" w14:textId="77777777" w:rsidTr="00C56DFD">
      <w:trPr>
        <w:cantSplit/>
        <w:trHeight w:val="355"/>
      </w:trPr>
      <w:tc>
        <w:tcPr>
          <w:tcW w:w="2122" w:type="dxa"/>
          <w:vMerge/>
          <w:vAlign w:val="center"/>
        </w:tcPr>
        <w:p w14:paraId="4D285661" w14:textId="77777777" w:rsidR="009E1426" w:rsidRPr="00A128BC" w:rsidRDefault="009E1426" w:rsidP="00F64339">
          <w:pPr>
            <w:pStyle w:val="Kopfzeile"/>
            <w:jc w:val="center"/>
            <w:rPr>
              <w:rFonts w:ascii="Calibri" w:hAnsi="Calibri"/>
              <w:b/>
              <w:sz w:val="22"/>
              <w:lang w:val="de-DE" w:eastAsia="de-DE"/>
            </w:rPr>
          </w:pPr>
        </w:p>
      </w:tc>
      <w:tc>
        <w:tcPr>
          <w:tcW w:w="4536" w:type="dxa"/>
          <w:vMerge/>
          <w:vAlign w:val="center"/>
        </w:tcPr>
        <w:p w14:paraId="1F869CCF" w14:textId="77777777" w:rsidR="009E1426" w:rsidRPr="00A128BC" w:rsidRDefault="009E1426" w:rsidP="00F64339">
          <w:pPr>
            <w:pStyle w:val="Kopfzeile"/>
            <w:jc w:val="center"/>
            <w:rPr>
              <w:rFonts w:ascii="Calibri" w:hAnsi="Calibri" w:cs="Arial"/>
              <w:b/>
              <w:sz w:val="28"/>
              <w:szCs w:val="28"/>
              <w:lang w:val="de-DE" w:eastAsia="de-DE"/>
            </w:rPr>
          </w:pPr>
        </w:p>
      </w:tc>
      <w:tc>
        <w:tcPr>
          <w:tcW w:w="2970" w:type="dxa"/>
          <w:gridSpan w:val="2"/>
          <w:vAlign w:val="center"/>
        </w:tcPr>
        <w:p w14:paraId="0A3A7550" w14:textId="7C52D9E6" w:rsidR="009E1426" w:rsidRPr="008D5478"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14:paraId="19242570" w14:textId="77777777" w:rsidR="009E1426" w:rsidRPr="000B097B" w:rsidRDefault="009E1426" w:rsidP="000B097B">
    <w:pPr>
      <w:spacing w:before="0" w:after="0"/>
      <w:rPr>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04"/>
      <w:gridCol w:w="1746"/>
      <w:gridCol w:w="472"/>
      <w:gridCol w:w="473"/>
      <w:gridCol w:w="473"/>
      <w:gridCol w:w="566"/>
    </w:tblGrid>
    <w:tr w:rsidR="009E1426" w:rsidRPr="005E0FAD" w14:paraId="5F849EE5" w14:textId="77777777" w:rsidTr="00037208">
      <w:trPr>
        <w:cantSplit/>
        <w:tblHeader/>
      </w:trPr>
      <w:tc>
        <w:tcPr>
          <w:tcW w:w="5904" w:type="dxa"/>
          <w:vMerge w:val="restart"/>
          <w:shd w:val="clear" w:color="auto" w:fill="D9D9D9"/>
          <w:tcMar>
            <w:bottom w:w="28" w:type="dxa"/>
          </w:tcMar>
        </w:tcPr>
        <w:p w14:paraId="1ABCE812" w14:textId="77777777" w:rsidR="009E1426" w:rsidRPr="005F5BEC" w:rsidRDefault="009E1426" w:rsidP="00E24600">
          <w:pPr>
            <w:spacing w:before="0" w:after="0"/>
            <w:rPr>
              <w:rFonts w:cs="Arial"/>
              <w:b/>
              <w:color w:val="000000"/>
            </w:rPr>
          </w:pPr>
          <w:r>
            <w:rPr>
              <w:rFonts w:cs="Arial"/>
              <w:b/>
              <w:color w:val="000000"/>
            </w:rPr>
            <w:t xml:space="preserve">Teil I: </w:t>
          </w:r>
          <w:r w:rsidRPr="005502D2">
            <w:rPr>
              <w:rFonts w:cs="Arial"/>
              <w:b/>
              <w:color w:val="000000"/>
            </w:rPr>
            <w:t xml:space="preserve">Anforderung nach </w:t>
          </w:r>
          <w:r w:rsidRPr="005502D2">
            <w:rPr>
              <w:rFonts w:cs="Arial"/>
              <w:b/>
              <w:bCs/>
              <w:sz w:val="22"/>
              <w:szCs w:val="22"/>
            </w:rPr>
            <w:t>VO 2019/881</w:t>
          </w:r>
          <w:r>
            <w:rPr>
              <w:rFonts w:cs="Arial"/>
              <w:b/>
              <w:bCs/>
              <w:sz w:val="22"/>
              <w:szCs w:val="22"/>
            </w:rPr>
            <w:t xml:space="preserve"> Artikel 61</w:t>
          </w:r>
        </w:p>
      </w:tc>
      <w:tc>
        <w:tcPr>
          <w:tcW w:w="1746" w:type="dxa"/>
          <w:vMerge w:val="restart"/>
          <w:shd w:val="clear" w:color="auto" w:fill="D9D9D9"/>
          <w:tcMar>
            <w:bottom w:w="28" w:type="dxa"/>
          </w:tcMar>
        </w:tcPr>
        <w:p w14:paraId="5C1FBEB9" w14:textId="77777777" w:rsidR="009E1426" w:rsidRPr="005E0FAD" w:rsidRDefault="009E1426" w:rsidP="00E24600">
          <w:pPr>
            <w:spacing w:before="0" w:after="0"/>
            <w:jc w:val="center"/>
            <w:rPr>
              <w:rFonts w:cs="Arial"/>
              <w:b/>
              <w:sz w:val="18"/>
              <w:szCs w:val="18"/>
            </w:rPr>
          </w:pPr>
          <w:r w:rsidRPr="005E0FAD">
            <w:rPr>
              <w:rFonts w:cs="Arial"/>
              <w:b/>
              <w:sz w:val="18"/>
              <w:szCs w:val="18"/>
            </w:rPr>
            <w:t xml:space="preserve">Notizen, </w:t>
          </w:r>
          <w:r>
            <w:rPr>
              <w:rFonts w:cs="Arial"/>
              <w:b/>
              <w:sz w:val="18"/>
              <w:szCs w:val="18"/>
            </w:rPr>
            <w:br/>
          </w:r>
          <w:r w:rsidRPr="005E0FAD">
            <w:rPr>
              <w:rFonts w:cs="Arial"/>
              <w:b/>
              <w:sz w:val="18"/>
              <w:szCs w:val="18"/>
            </w:rPr>
            <w:t>Bemerkungen</w:t>
          </w:r>
        </w:p>
      </w:tc>
      <w:tc>
        <w:tcPr>
          <w:tcW w:w="1418" w:type="dxa"/>
          <w:gridSpan w:val="3"/>
          <w:shd w:val="clear" w:color="auto" w:fill="D9D9D9"/>
          <w:tcMar>
            <w:bottom w:w="28" w:type="dxa"/>
          </w:tcMar>
        </w:tcPr>
        <w:p w14:paraId="48E4A449" w14:textId="77777777" w:rsidR="009E1426" w:rsidRPr="005E0FAD" w:rsidRDefault="009E1426" w:rsidP="00E24600">
          <w:pPr>
            <w:keepNext/>
            <w:keepLines/>
            <w:spacing w:before="0" w:after="0"/>
            <w:jc w:val="center"/>
            <w:rPr>
              <w:rFonts w:cs="Arial"/>
              <w:b/>
              <w:bCs/>
              <w:sz w:val="18"/>
              <w:szCs w:val="18"/>
            </w:rPr>
          </w:pPr>
          <w:r w:rsidRPr="005E0FAD">
            <w:rPr>
              <w:rFonts w:cs="Arial"/>
              <w:b/>
              <w:bCs/>
              <w:sz w:val="18"/>
              <w:szCs w:val="18"/>
            </w:rPr>
            <w:t>Bewertung</w:t>
          </w:r>
          <w:r w:rsidRPr="005E0FAD">
            <w:rPr>
              <w:rStyle w:val="Endnotenzeichen"/>
              <w:rFonts w:cs="Arial"/>
              <w:b/>
              <w:bCs/>
              <w:sz w:val="18"/>
              <w:szCs w:val="18"/>
            </w:rPr>
            <w:footnoteRef/>
          </w:r>
        </w:p>
      </w:tc>
      <w:tc>
        <w:tcPr>
          <w:tcW w:w="566" w:type="dxa"/>
          <w:tcBorders>
            <w:bottom w:val="nil"/>
          </w:tcBorders>
          <w:shd w:val="clear" w:color="auto" w:fill="D9D9D9"/>
          <w:tcMar>
            <w:bottom w:w="28" w:type="dxa"/>
          </w:tcMar>
        </w:tcPr>
        <w:p w14:paraId="067F5FA3" w14:textId="77777777" w:rsidR="009E1426" w:rsidRPr="005E0FAD" w:rsidRDefault="009E1426" w:rsidP="00E24600">
          <w:pPr>
            <w:spacing w:before="0" w:after="0"/>
            <w:jc w:val="center"/>
            <w:rPr>
              <w:rFonts w:cs="Arial"/>
              <w:b/>
              <w:bCs/>
              <w:sz w:val="18"/>
              <w:szCs w:val="18"/>
            </w:rPr>
          </w:pPr>
          <w:r w:rsidRPr="005E0FAD">
            <w:rPr>
              <w:rFonts w:cs="Arial"/>
              <w:b/>
              <w:bCs/>
              <w:sz w:val="18"/>
              <w:szCs w:val="18"/>
            </w:rPr>
            <w:t>Abw.</w:t>
          </w:r>
          <w:r>
            <w:rPr>
              <w:rStyle w:val="Endnotenzeichen"/>
              <w:rFonts w:cs="Arial"/>
              <w:b/>
              <w:bCs/>
              <w:sz w:val="18"/>
              <w:szCs w:val="18"/>
            </w:rPr>
            <w:footnoteRef/>
          </w:r>
        </w:p>
      </w:tc>
    </w:tr>
    <w:tr w:rsidR="009E1426" w:rsidRPr="005E0FAD" w14:paraId="128AD638" w14:textId="77777777" w:rsidTr="00037208">
      <w:trPr>
        <w:cantSplit/>
        <w:tblHeader/>
      </w:trPr>
      <w:tc>
        <w:tcPr>
          <w:tcW w:w="5904" w:type="dxa"/>
          <w:vMerge/>
          <w:shd w:val="clear" w:color="auto" w:fill="D9D9D9"/>
          <w:tcMar>
            <w:top w:w="0" w:type="dxa"/>
          </w:tcMar>
        </w:tcPr>
        <w:p w14:paraId="7DD0973F" w14:textId="77777777" w:rsidR="009E1426" w:rsidRPr="005E0FAD" w:rsidRDefault="009E1426" w:rsidP="00E24600">
          <w:pPr>
            <w:spacing w:before="0" w:after="0"/>
            <w:rPr>
              <w:rFonts w:cs="Arial"/>
              <w:color w:val="000000"/>
              <w:sz w:val="18"/>
              <w:szCs w:val="18"/>
            </w:rPr>
          </w:pPr>
        </w:p>
      </w:tc>
      <w:tc>
        <w:tcPr>
          <w:tcW w:w="1746" w:type="dxa"/>
          <w:vMerge/>
          <w:tcBorders>
            <w:bottom w:val="single" w:sz="4" w:space="0" w:color="auto"/>
          </w:tcBorders>
          <w:shd w:val="clear" w:color="auto" w:fill="D9D9D9"/>
          <w:tcMar>
            <w:top w:w="0" w:type="dxa"/>
          </w:tcMar>
        </w:tcPr>
        <w:p w14:paraId="464746D8" w14:textId="77777777" w:rsidR="009E1426" w:rsidRPr="005E0FAD" w:rsidRDefault="009E1426" w:rsidP="00E24600">
          <w:pPr>
            <w:spacing w:before="0" w:after="0"/>
            <w:rPr>
              <w:rFonts w:cs="Arial"/>
              <w:b/>
              <w:sz w:val="18"/>
              <w:szCs w:val="18"/>
            </w:rPr>
          </w:pPr>
        </w:p>
      </w:tc>
      <w:tc>
        <w:tcPr>
          <w:tcW w:w="472" w:type="dxa"/>
          <w:tcBorders>
            <w:bottom w:val="single" w:sz="4" w:space="0" w:color="auto"/>
          </w:tcBorders>
          <w:shd w:val="clear" w:color="auto" w:fill="D9D9D9"/>
          <w:tcMar>
            <w:top w:w="0" w:type="dxa"/>
          </w:tcMar>
        </w:tcPr>
        <w:p w14:paraId="3775A928" w14:textId="77777777" w:rsidR="009E1426" w:rsidRPr="005E0FAD" w:rsidRDefault="009E1426" w:rsidP="00E24600">
          <w:pPr>
            <w:keepNext/>
            <w:keepLines/>
            <w:spacing w:before="0" w:after="0"/>
            <w:jc w:val="center"/>
            <w:rPr>
              <w:rFonts w:cs="Arial"/>
              <w:b/>
              <w:bCs/>
              <w:sz w:val="18"/>
              <w:szCs w:val="18"/>
            </w:rPr>
          </w:pPr>
          <w:r w:rsidRPr="005E0FAD">
            <w:rPr>
              <w:rFonts w:cs="Arial"/>
              <w:b/>
              <w:bCs/>
              <w:sz w:val="18"/>
              <w:szCs w:val="18"/>
            </w:rPr>
            <w:t>1</w:t>
          </w:r>
        </w:p>
      </w:tc>
      <w:tc>
        <w:tcPr>
          <w:tcW w:w="473" w:type="dxa"/>
          <w:shd w:val="clear" w:color="auto" w:fill="D9D9D9"/>
          <w:tcMar>
            <w:top w:w="0" w:type="dxa"/>
          </w:tcMar>
        </w:tcPr>
        <w:p w14:paraId="37E73175" w14:textId="77777777" w:rsidR="009E1426" w:rsidRPr="005E0FAD" w:rsidRDefault="009E1426" w:rsidP="00E24600">
          <w:pPr>
            <w:keepNext/>
            <w:keepLines/>
            <w:spacing w:before="0" w:after="0"/>
            <w:jc w:val="center"/>
            <w:rPr>
              <w:rFonts w:cs="Arial"/>
              <w:b/>
              <w:bCs/>
              <w:sz w:val="18"/>
              <w:szCs w:val="18"/>
            </w:rPr>
          </w:pPr>
          <w:r w:rsidRPr="005E0FAD">
            <w:rPr>
              <w:rFonts w:cs="Arial"/>
              <w:b/>
              <w:bCs/>
              <w:sz w:val="18"/>
              <w:szCs w:val="18"/>
            </w:rPr>
            <w:t>2</w:t>
          </w:r>
        </w:p>
      </w:tc>
      <w:tc>
        <w:tcPr>
          <w:tcW w:w="473" w:type="dxa"/>
          <w:shd w:val="clear" w:color="auto" w:fill="D9D9D9"/>
          <w:tcMar>
            <w:top w:w="0" w:type="dxa"/>
          </w:tcMar>
        </w:tcPr>
        <w:p w14:paraId="3B612BBF" w14:textId="77777777" w:rsidR="009E1426" w:rsidRPr="005E0FAD" w:rsidRDefault="009E1426" w:rsidP="00E24600">
          <w:pPr>
            <w:keepNext/>
            <w:keepLines/>
            <w:spacing w:before="0" w:after="0"/>
            <w:jc w:val="center"/>
            <w:rPr>
              <w:rFonts w:cs="Arial"/>
              <w:b/>
              <w:bCs/>
              <w:sz w:val="18"/>
              <w:szCs w:val="18"/>
            </w:rPr>
          </w:pPr>
          <w:r w:rsidRPr="005E0FAD">
            <w:rPr>
              <w:rFonts w:cs="Arial"/>
              <w:b/>
              <w:bCs/>
              <w:sz w:val="18"/>
              <w:szCs w:val="18"/>
            </w:rPr>
            <w:t>3</w:t>
          </w:r>
        </w:p>
      </w:tc>
      <w:tc>
        <w:tcPr>
          <w:tcW w:w="566" w:type="dxa"/>
          <w:tcBorders>
            <w:top w:val="nil"/>
          </w:tcBorders>
          <w:shd w:val="clear" w:color="auto" w:fill="D9D9D9"/>
          <w:tcMar>
            <w:top w:w="0" w:type="dxa"/>
          </w:tcMar>
        </w:tcPr>
        <w:p w14:paraId="19D81ADA" w14:textId="77777777" w:rsidR="009E1426" w:rsidRPr="005E0FAD" w:rsidRDefault="009E1426" w:rsidP="00E24600">
          <w:pPr>
            <w:spacing w:before="0" w:after="0"/>
            <w:jc w:val="center"/>
            <w:rPr>
              <w:rFonts w:cs="Arial"/>
              <w:b/>
              <w:bCs/>
              <w:sz w:val="18"/>
              <w:szCs w:val="18"/>
            </w:rPr>
          </w:pPr>
          <w:r w:rsidRPr="005E0FAD">
            <w:rPr>
              <w:rFonts w:cs="Arial"/>
              <w:b/>
              <w:bCs/>
              <w:sz w:val="18"/>
              <w:szCs w:val="18"/>
            </w:rPr>
            <w:t>Nr.</w:t>
          </w:r>
        </w:p>
      </w:tc>
    </w:tr>
  </w:tbl>
  <w:p w14:paraId="7348DE95" w14:textId="77777777" w:rsidR="009E1426" w:rsidRPr="00D623CF" w:rsidRDefault="009E1426" w:rsidP="00E24600">
    <w:pPr>
      <w:spacing w:before="0" w:after="0"/>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2"/>
      <w:gridCol w:w="4536"/>
      <w:gridCol w:w="1701"/>
      <w:gridCol w:w="1269"/>
    </w:tblGrid>
    <w:tr w:rsidR="009E1426" w:rsidRPr="00EF56D9" w14:paraId="50E13331" w14:textId="77777777" w:rsidTr="00C56DFD">
      <w:trPr>
        <w:cantSplit/>
        <w:trHeight w:val="355"/>
      </w:trPr>
      <w:tc>
        <w:tcPr>
          <w:tcW w:w="2122" w:type="dxa"/>
          <w:vMerge w:val="restart"/>
          <w:vAlign w:val="center"/>
        </w:tcPr>
        <w:p w14:paraId="27BCDE0A" w14:textId="77777777" w:rsidR="009E1426" w:rsidRPr="00A128BC" w:rsidRDefault="009E1426" w:rsidP="00F6433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2AB0368D" wp14:editId="45297CD0">
                <wp:extent cx="1104900" cy="469900"/>
                <wp:effectExtent l="0" t="0" r="0" b="6350"/>
                <wp:docPr id="1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536" w:type="dxa"/>
          <w:vMerge w:val="restart"/>
          <w:vAlign w:val="center"/>
        </w:tcPr>
        <w:p w14:paraId="139F004D" w14:textId="77777777" w:rsidR="009E1426" w:rsidRPr="00181DD4" w:rsidRDefault="009E1426" w:rsidP="00F64339">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w:t>
          </w:r>
          <w:r>
            <w:rPr>
              <w:rFonts w:ascii="Calibri" w:hAnsi="Calibri"/>
              <w:b/>
              <w:sz w:val="24"/>
              <w:szCs w:val="24"/>
              <w:lang w:val="de-DE" w:eastAsia="de-DE"/>
            </w:rPr>
            <w:t>/Bericht</w:t>
          </w:r>
          <w:r w:rsidRPr="00181DD4">
            <w:rPr>
              <w:rFonts w:ascii="Calibri" w:hAnsi="Calibri"/>
              <w:b/>
              <w:sz w:val="24"/>
              <w:szCs w:val="24"/>
              <w:lang w:val="de-DE" w:eastAsia="de-DE"/>
            </w:rPr>
            <w:t xml:space="preserve"> für die speziellen Kriterien</w:t>
          </w:r>
          <w:r>
            <w:rPr>
              <w:rFonts w:ascii="Calibri" w:hAnsi="Calibri"/>
              <w:b/>
              <w:sz w:val="24"/>
              <w:szCs w:val="24"/>
              <w:lang w:val="de-DE" w:eastAsia="de-DE"/>
            </w:rPr>
            <w:t xml:space="preserve"> </w:t>
          </w:r>
          <w:r w:rsidRPr="00181DD4">
            <w:rPr>
              <w:rFonts w:ascii="Calibri" w:hAnsi="Calibri"/>
              <w:b/>
              <w:sz w:val="24"/>
              <w:szCs w:val="24"/>
              <w:lang w:val="de-DE" w:eastAsia="de-DE"/>
            </w:rPr>
            <w:t>für Prüflabor</w:t>
          </w:r>
          <w:r>
            <w:rPr>
              <w:rFonts w:ascii="Calibri" w:hAnsi="Calibri"/>
              <w:b/>
              <w:sz w:val="24"/>
              <w:szCs w:val="24"/>
              <w:lang w:val="de-DE" w:eastAsia="de-DE"/>
            </w:rPr>
            <w:t>atorien</w:t>
          </w:r>
          <w:r w:rsidRPr="00181DD4">
            <w:rPr>
              <w:rFonts w:ascii="Calibri" w:hAnsi="Calibri"/>
              <w:b/>
              <w:sz w:val="24"/>
              <w:szCs w:val="24"/>
              <w:lang w:val="de-DE" w:eastAsia="de-DE"/>
            </w:rPr>
            <w:t xml:space="preserve"> oder Zertifizierungsstellen</w:t>
          </w:r>
          <w:r>
            <w:rPr>
              <w:rFonts w:ascii="Calibri" w:hAnsi="Calibri"/>
              <w:b/>
              <w:sz w:val="24"/>
              <w:szCs w:val="24"/>
              <w:lang w:val="de-DE" w:eastAsia="de-DE"/>
            </w:rPr>
            <w:t xml:space="preserve"> </w:t>
          </w:r>
          <w:r w:rsidRPr="00181DD4">
            <w:rPr>
              <w:rFonts w:ascii="Calibri" w:hAnsi="Calibri"/>
              <w:b/>
              <w:sz w:val="24"/>
              <w:szCs w:val="24"/>
              <w:lang w:val="de-DE" w:eastAsia="de-DE"/>
            </w:rPr>
            <w:t xml:space="preserve">nach </w:t>
          </w:r>
          <w:r>
            <w:rPr>
              <w:rFonts w:ascii="Calibri" w:hAnsi="Calibri"/>
              <w:b/>
              <w:sz w:val="24"/>
              <w:szCs w:val="24"/>
              <w:lang w:val="de-DE" w:eastAsia="de-DE"/>
            </w:rPr>
            <w:t>VO 2019/881 (Cyber Security Act)</w:t>
          </w:r>
        </w:p>
      </w:tc>
      <w:tc>
        <w:tcPr>
          <w:tcW w:w="1701" w:type="dxa"/>
          <w:vAlign w:val="center"/>
        </w:tcPr>
        <w:p w14:paraId="55DB3535" w14:textId="4E86B797" w:rsidR="009E1426" w:rsidRPr="00A128BC"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269" w:type="dxa"/>
          <w:vAlign w:val="center"/>
        </w:tcPr>
        <w:p w14:paraId="559504AD" w14:textId="609D2F95" w:rsidR="009E1426" w:rsidRPr="00A128BC"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E1426" w:rsidRPr="00EF56D9" w14:paraId="5DFDE77C" w14:textId="77777777" w:rsidTr="00C56DFD">
      <w:trPr>
        <w:cantSplit/>
        <w:trHeight w:val="355"/>
      </w:trPr>
      <w:tc>
        <w:tcPr>
          <w:tcW w:w="2122" w:type="dxa"/>
          <w:vMerge/>
          <w:vAlign w:val="center"/>
        </w:tcPr>
        <w:p w14:paraId="6A75D08A" w14:textId="77777777" w:rsidR="009E1426" w:rsidRPr="00A128BC" w:rsidRDefault="009E1426" w:rsidP="00F64339">
          <w:pPr>
            <w:pStyle w:val="Kopfzeile"/>
            <w:jc w:val="center"/>
            <w:rPr>
              <w:rFonts w:ascii="Calibri" w:hAnsi="Calibri"/>
              <w:b/>
              <w:sz w:val="22"/>
              <w:lang w:val="de-DE" w:eastAsia="de-DE"/>
            </w:rPr>
          </w:pPr>
        </w:p>
      </w:tc>
      <w:tc>
        <w:tcPr>
          <w:tcW w:w="4536" w:type="dxa"/>
          <w:vMerge/>
          <w:vAlign w:val="center"/>
        </w:tcPr>
        <w:p w14:paraId="44CE33FF" w14:textId="77777777" w:rsidR="009E1426" w:rsidRPr="00A128BC" w:rsidRDefault="009E1426" w:rsidP="00F64339">
          <w:pPr>
            <w:pStyle w:val="Kopfzeile"/>
            <w:jc w:val="center"/>
            <w:rPr>
              <w:rFonts w:ascii="Calibri" w:hAnsi="Calibri" w:cs="Arial"/>
              <w:b/>
              <w:sz w:val="28"/>
              <w:szCs w:val="28"/>
              <w:lang w:val="de-DE" w:eastAsia="de-DE"/>
            </w:rPr>
          </w:pPr>
        </w:p>
      </w:tc>
      <w:tc>
        <w:tcPr>
          <w:tcW w:w="2970" w:type="dxa"/>
          <w:gridSpan w:val="2"/>
          <w:vAlign w:val="center"/>
        </w:tcPr>
        <w:p w14:paraId="35AD8CC3" w14:textId="2C19C9D9" w:rsidR="009E1426" w:rsidRPr="008D5478"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14:paraId="70A6674C" w14:textId="77777777" w:rsidR="009E1426" w:rsidRPr="000B097B" w:rsidRDefault="009E1426" w:rsidP="000B097B">
    <w:pPr>
      <w:spacing w:before="0" w:after="0"/>
      <w:rPr>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04"/>
      <w:gridCol w:w="1746"/>
      <w:gridCol w:w="472"/>
      <w:gridCol w:w="473"/>
      <w:gridCol w:w="473"/>
      <w:gridCol w:w="566"/>
    </w:tblGrid>
    <w:tr w:rsidR="009E1426" w:rsidRPr="005E0FAD" w14:paraId="2F76F89D" w14:textId="77777777" w:rsidTr="00C56DFD">
      <w:trPr>
        <w:cantSplit/>
        <w:trHeight w:val="283"/>
        <w:tblHeader/>
      </w:trPr>
      <w:tc>
        <w:tcPr>
          <w:tcW w:w="5904" w:type="dxa"/>
          <w:vMerge w:val="restart"/>
          <w:shd w:val="clear" w:color="auto" w:fill="D9D9D9"/>
          <w:tcMar>
            <w:bottom w:w="28" w:type="dxa"/>
          </w:tcMar>
        </w:tcPr>
        <w:p w14:paraId="3AD5B3FD" w14:textId="77777777" w:rsidR="009E1426" w:rsidRPr="00557A41" w:rsidRDefault="009E1426" w:rsidP="000E6194">
          <w:pPr>
            <w:spacing w:before="0" w:after="0"/>
            <w:rPr>
              <w:rFonts w:cs="Arial"/>
              <w:b/>
              <w:iCs/>
              <w:noProof/>
            </w:rPr>
          </w:pPr>
          <w:r w:rsidRPr="00557A41">
            <w:rPr>
              <w:rFonts w:cs="Arial"/>
              <w:b/>
              <w:iCs/>
              <w:noProof/>
            </w:rPr>
            <w:t>Teil II: Zusatzanforderungen an Zertifizierungsstellen und ITSEFs</w:t>
          </w:r>
        </w:p>
      </w:tc>
      <w:tc>
        <w:tcPr>
          <w:tcW w:w="1746" w:type="dxa"/>
          <w:tcBorders>
            <w:bottom w:val="nil"/>
          </w:tcBorders>
          <w:shd w:val="clear" w:color="auto" w:fill="D9D9D9"/>
          <w:tcMar>
            <w:bottom w:w="28" w:type="dxa"/>
          </w:tcMar>
        </w:tcPr>
        <w:p w14:paraId="3366C19C" w14:textId="77777777" w:rsidR="009E1426" w:rsidRPr="00557A41" w:rsidRDefault="009E1426" w:rsidP="000E6194">
          <w:pPr>
            <w:spacing w:before="0" w:after="0"/>
            <w:jc w:val="center"/>
            <w:rPr>
              <w:rFonts w:cs="Arial"/>
              <w:b/>
              <w:sz w:val="18"/>
              <w:szCs w:val="18"/>
            </w:rPr>
          </w:pPr>
          <w:r w:rsidRPr="00557A41">
            <w:rPr>
              <w:rFonts w:cs="Arial"/>
              <w:b/>
              <w:sz w:val="18"/>
              <w:szCs w:val="18"/>
            </w:rPr>
            <w:t xml:space="preserve">Notizen, </w:t>
          </w:r>
        </w:p>
      </w:tc>
      <w:tc>
        <w:tcPr>
          <w:tcW w:w="1418" w:type="dxa"/>
          <w:gridSpan w:val="3"/>
          <w:shd w:val="clear" w:color="auto" w:fill="D9D9D9"/>
          <w:tcMar>
            <w:bottom w:w="28" w:type="dxa"/>
          </w:tcMar>
        </w:tcPr>
        <w:p w14:paraId="081E4934" w14:textId="77777777" w:rsidR="009E1426" w:rsidRPr="00557A41" w:rsidRDefault="009E1426" w:rsidP="000E6194">
          <w:pPr>
            <w:keepNext/>
            <w:keepLines/>
            <w:spacing w:before="0" w:after="0"/>
            <w:jc w:val="center"/>
            <w:rPr>
              <w:rFonts w:cs="Arial"/>
              <w:b/>
              <w:bCs/>
              <w:sz w:val="18"/>
              <w:szCs w:val="18"/>
            </w:rPr>
          </w:pPr>
          <w:r w:rsidRPr="00557A41">
            <w:rPr>
              <w:rFonts w:cs="Arial"/>
              <w:b/>
              <w:bCs/>
              <w:sz w:val="18"/>
              <w:szCs w:val="18"/>
            </w:rPr>
            <w:t>Bewertung</w:t>
          </w:r>
          <w:r w:rsidRPr="00557A41">
            <w:rPr>
              <w:rStyle w:val="Endnotenzeichen"/>
              <w:rFonts w:cs="Arial"/>
              <w:b/>
              <w:bCs/>
              <w:sz w:val="18"/>
              <w:szCs w:val="18"/>
            </w:rPr>
            <w:footnoteRef/>
          </w:r>
        </w:p>
      </w:tc>
      <w:tc>
        <w:tcPr>
          <w:tcW w:w="566" w:type="dxa"/>
          <w:tcBorders>
            <w:bottom w:val="nil"/>
          </w:tcBorders>
          <w:shd w:val="clear" w:color="auto" w:fill="D9D9D9"/>
          <w:tcMar>
            <w:bottom w:w="28" w:type="dxa"/>
          </w:tcMar>
        </w:tcPr>
        <w:p w14:paraId="0CEB06F7" w14:textId="77777777" w:rsidR="009E1426" w:rsidRPr="00557A41" w:rsidRDefault="009E1426" w:rsidP="000E6194">
          <w:pPr>
            <w:spacing w:before="0" w:after="0"/>
            <w:jc w:val="center"/>
            <w:rPr>
              <w:rFonts w:cs="Arial"/>
              <w:b/>
              <w:bCs/>
              <w:sz w:val="18"/>
              <w:szCs w:val="18"/>
            </w:rPr>
          </w:pPr>
          <w:r w:rsidRPr="00557A41">
            <w:rPr>
              <w:rFonts w:cs="Arial"/>
              <w:b/>
              <w:bCs/>
              <w:sz w:val="18"/>
              <w:szCs w:val="18"/>
            </w:rPr>
            <w:t>Abw.</w:t>
          </w:r>
          <w:r w:rsidRPr="00557A41">
            <w:rPr>
              <w:rStyle w:val="Endnotenzeichen"/>
              <w:rFonts w:cs="Arial"/>
              <w:b/>
              <w:bCs/>
              <w:sz w:val="18"/>
              <w:szCs w:val="18"/>
            </w:rPr>
            <w:footnoteRef/>
          </w:r>
        </w:p>
      </w:tc>
    </w:tr>
    <w:tr w:rsidR="009E1426" w:rsidRPr="005E0FAD" w14:paraId="6C4C7716" w14:textId="77777777" w:rsidTr="00C56DFD">
      <w:trPr>
        <w:cantSplit/>
        <w:tblHeader/>
      </w:trPr>
      <w:tc>
        <w:tcPr>
          <w:tcW w:w="5904" w:type="dxa"/>
          <w:vMerge/>
          <w:shd w:val="clear" w:color="auto" w:fill="D9D9D9"/>
          <w:tcMar>
            <w:top w:w="0" w:type="dxa"/>
          </w:tcMar>
        </w:tcPr>
        <w:p w14:paraId="022C726F" w14:textId="77777777" w:rsidR="009E1426" w:rsidRPr="005E0FAD" w:rsidRDefault="009E1426" w:rsidP="000E6194">
          <w:pPr>
            <w:spacing w:before="0" w:after="0"/>
            <w:rPr>
              <w:rFonts w:cs="Arial"/>
              <w:color w:val="000000"/>
              <w:sz w:val="18"/>
              <w:szCs w:val="18"/>
            </w:rPr>
          </w:pPr>
        </w:p>
      </w:tc>
      <w:tc>
        <w:tcPr>
          <w:tcW w:w="1746" w:type="dxa"/>
          <w:tcBorders>
            <w:top w:val="nil"/>
            <w:bottom w:val="single" w:sz="4" w:space="0" w:color="auto"/>
          </w:tcBorders>
          <w:shd w:val="clear" w:color="auto" w:fill="D9D9D9"/>
          <w:tcMar>
            <w:top w:w="0" w:type="dxa"/>
          </w:tcMar>
        </w:tcPr>
        <w:p w14:paraId="7E2EC62A" w14:textId="77777777" w:rsidR="009E1426" w:rsidRPr="00557A41" w:rsidRDefault="009E1426" w:rsidP="000E6194">
          <w:pPr>
            <w:spacing w:before="0" w:after="0"/>
            <w:jc w:val="center"/>
            <w:rPr>
              <w:rFonts w:cs="Arial"/>
              <w:b/>
              <w:bCs/>
              <w:sz w:val="18"/>
              <w:szCs w:val="18"/>
            </w:rPr>
          </w:pPr>
          <w:r w:rsidRPr="00557A41">
            <w:rPr>
              <w:rFonts w:cs="Arial"/>
              <w:b/>
              <w:bCs/>
              <w:sz w:val="18"/>
              <w:szCs w:val="18"/>
            </w:rPr>
            <w:t>Bemerkungen</w:t>
          </w:r>
        </w:p>
      </w:tc>
      <w:tc>
        <w:tcPr>
          <w:tcW w:w="472" w:type="dxa"/>
          <w:tcBorders>
            <w:bottom w:val="single" w:sz="4" w:space="0" w:color="auto"/>
          </w:tcBorders>
          <w:shd w:val="clear" w:color="auto" w:fill="D9D9D9"/>
          <w:tcMar>
            <w:top w:w="0" w:type="dxa"/>
          </w:tcMar>
        </w:tcPr>
        <w:p w14:paraId="63754227" w14:textId="77777777" w:rsidR="009E1426" w:rsidRPr="00557A41" w:rsidRDefault="009E1426" w:rsidP="000E6194">
          <w:pPr>
            <w:keepNext/>
            <w:keepLines/>
            <w:spacing w:before="0" w:after="0"/>
            <w:jc w:val="center"/>
            <w:rPr>
              <w:rFonts w:cs="Arial"/>
              <w:b/>
              <w:bCs/>
              <w:sz w:val="18"/>
              <w:szCs w:val="18"/>
            </w:rPr>
          </w:pPr>
          <w:r w:rsidRPr="00557A41">
            <w:rPr>
              <w:rFonts w:cs="Arial"/>
              <w:b/>
              <w:bCs/>
              <w:sz w:val="18"/>
              <w:szCs w:val="18"/>
            </w:rPr>
            <w:t>1</w:t>
          </w:r>
        </w:p>
      </w:tc>
      <w:tc>
        <w:tcPr>
          <w:tcW w:w="473" w:type="dxa"/>
          <w:shd w:val="clear" w:color="auto" w:fill="D9D9D9"/>
          <w:tcMar>
            <w:top w:w="0" w:type="dxa"/>
          </w:tcMar>
        </w:tcPr>
        <w:p w14:paraId="2477BD8B" w14:textId="77777777" w:rsidR="009E1426" w:rsidRPr="00557A41" w:rsidRDefault="009E1426" w:rsidP="000E6194">
          <w:pPr>
            <w:keepNext/>
            <w:keepLines/>
            <w:spacing w:before="0" w:after="0"/>
            <w:jc w:val="center"/>
            <w:rPr>
              <w:rFonts w:cs="Arial"/>
              <w:b/>
              <w:bCs/>
              <w:sz w:val="18"/>
              <w:szCs w:val="18"/>
            </w:rPr>
          </w:pPr>
          <w:r w:rsidRPr="00557A41">
            <w:rPr>
              <w:rFonts w:cs="Arial"/>
              <w:b/>
              <w:bCs/>
              <w:sz w:val="18"/>
              <w:szCs w:val="18"/>
            </w:rPr>
            <w:t>2</w:t>
          </w:r>
        </w:p>
      </w:tc>
      <w:tc>
        <w:tcPr>
          <w:tcW w:w="473" w:type="dxa"/>
          <w:shd w:val="clear" w:color="auto" w:fill="D9D9D9"/>
          <w:tcMar>
            <w:top w:w="0" w:type="dxa"/>
          </w:tcMar>
        </w:tcPr>
        <w:p w14:paraId="20AF3C23" w14:textId="77777777" w:rsidR="009E1426" w:rsidRPr="00557A41" w:rsidRDefault="009E1426" w:rsidP="000E6194">
          <w:pPr>
            <w:keepNext/>
            <w:keepLines/>
            <w:spacing w:before="0" w:after="0"/>
            <w:jc w:val="center"/>
            <w:rPr>
              <w:rFonts w:cs="Arial"/>
              <w:b/>
              <w:bCs/>
              <w:sz w:val="18"/>
              <w:szCs w:val="18"/>
            </w:rPr>
          </w:pPr>
          <w:r w:rsidRPr="00557A41">
            <w:rPr>
              <w:rFonts w:cs="Arial"/>
              <w:b/>
              <w:bCs/>
              <w:sz w:val="18"/>
              <w:szCs w:val="18"/>
            </w:rPr>
            <w:t>3</w:t>
          </w:r>
        </w:p>
      </w:tc>
      <w:tc>
        <w:tcPr>
          <w:tcW w:w="566" w:type="dxa"/>
          <w:tcBorders>
            <w:top w:val="nil"/>
          </w:tcBorders>
          <w:shd w:val="clear" w:color="auto" w:fill="D9D9D9"/>
          <w:tcMar>
            <w:top w:w="0" w:type="dxa"/>
          </w:tcMar>
        </w:tcPr>
        <w:p w14:paraId="7DA2DEDB" w14:textId="77777777" w:rsidR="009E1426" w:rsidRPr="00557A41" w:rsidRDefault="009E1426" w:rsidP="000E6194">
          <w:pPr>
            <w:spacing w:before="0" w:after="0"/>
            <w:jc w:val="center"/>
            <w:rPr>
              <w:rFonts w:cs="Arial"/>
              <w:b/>
              <w:bCs/>
              <w:sz w:val="18"/>
              <w:szCs w:val="18"/>
            </w:rPr>
          </w:pPr>
          <w:r w:rsidRPr="00557A41">
            <w:rPr>
              <w:rFonts w:cs="Arial"/>
              <w:b/>
              <w:bCs/>
              <w:sz w:val="18"/>
              <w:szCs w:val="18"/>
            </w:rPr>
            <w:t>Nr.</w:t>
          </w:r>
        </w:p>
      </w:tc>
    </w:tr>
  </w:tbl>
  <w:p w14:paraId="4C8166D3" w14:textId="77777777" w:rsidR="009E1426" w:rsidRPr="00D623CF" w:rsidRDefault="009E1426" w:rsidP="000E6194">
    <w:pPr>
      <w:spacing w:before="0" w:after="0"/>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2"/>
      <w:gridCol w:w="4536"/>
      <w:gridCol w:w="1701"/>
      <w:gridCol w:w="1269"/>
    </w:tblGrid>
    <w:tr w:rsidR="009E1426" w:rsidRPr="00EF56D9" w14:paraId="0CADDC50" w14:textId="77777777" w:rsidTr="00C56DFD">
      <w:trPr>
        <w:cantSplit/>
        <w:trHeight w:val="355"/>
      </w:trPr>
      <w:tc>
        <w:tcPr>
          <w:tcW w:w="2122" w:type="dxa"/>
          <w:vMerge w:val="restart"/>
          <w:vAlign w:val="center"/>
        </w:tcPr>
        <w:p w14:paraId="49D5CC3C" w14:textId="77777777" w:rsidR="009E1426" w:rsidRPr="00A128BC" w:rsidRDefault="009E1426" w:rsidP="00F6433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3A61D3D" wp14:editId="76BC99A7">
                <wp:extent cx="1104900" cy="469900"/>
                <wp:effectExtent l="0" t="0" r="0" b="635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536" w:type="dxa"/>
          <w:vMerge w:val="restart"/>
          <w:vAlign w:val="center"/>
        </w:tcPr>
        <w:p w14:paraId="2A0901E0" w14:textId="77777777" w:rsidR="009E1426" w:rsidRPr="00181DD4" w:rsidRDefault="009E1426" w:rsidP="00F64339">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 für die speziellen Kriterien</w:t>
          </w:r>
          <w:r>
            <w:rPr>
              <w:rFonts w:ascii="Calibri" w:hAnsi="Calibri"/>
              <w:b/>
              <w:sz w:val="24"/>
              <w:szCs w:val="24"/>
              <w:lang w:val="de-DE" w:eastAsia="de-DE"/>
            </w:rPr>
            <w:br/>
          </w:r>
          <w:r w:rsidRPr="00181DD4">
            <w:rPr>
              <w:rFonts w:ascii="Calibri" w:hAnsi="Calibri"/>
              <w:b/>
              <w:sz w:val="24"/>
              <w:szCs w:val="24"/>
              <w:lang w:val="de-DE" w:eastAsia="de-DE"/>
            </w:rPr>
            <w:t>für Prüflabore oder Zertifizierungsstellen</w:t>
          </w:r>
          <w:r>
            <w:rPr>
              <w:rFonts w:ascii="Calibri" w:hAnsi="Calibri"/>
              <w:b/>
              <w:sz w:val="24"/>
              <w:szCs w:val="24"/>
              <w:lang w:val="de-DE" w:eastAsia="de-DE"/>
            </w:rPr>
            <w:br/>
          </w:r>
          <w:r w:rsidRPr="00181DD4">
            <w:rPr>
              <w:rFonts w:ascii="Calibri" w:hAnsi="Calibri"/>
              <w:b/>
              <w:sz w:val="24"/>
              <w:szCs w:val="24"/>
              <w:lang w:val="de-DE" w:eastAsia="de-DE"/>
            </w:rPr>
            <w:t>nach EU-BauPVO</w:t>
          </w:r>
          <w:r>
            <w:rPr>
              <w:rFonts w:ascii="Calibri" w:hAnsi="Calibri"/>
              <w:b/>
              <w:sz w:val="24"/>
              <w:szCs w:val="24"/>
              <w:lang w:val="de-DE" w:eastAsia="de-DE"/>
            </w:rPr>
            <w:br/>
            <w:t>Delta Anforderungen EA 2/17</w:t>
          </w:r>
        </w:p>
      </w:tc>
      <w:tc>
        <w:tcPr>
          <w:tcW w:w="1701" w:type="dxa"/>
          <w:vAlign w:val="center"/>
        </w:tcPr>
        <w:p w14:paraId="3699AD51" w14:textId="4806112D" w:rsidR="009E1426" w:rsidRPr="00A128BC"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269" w:type="dxa"/>
          <w:vAlign w:val="center"/>
        </w:tcPr>
        <w:p w14:paraId="409AC615" w14:textId="0DC54EA0" w:rsidR="009E1426" w:rsidRPr="00A128BC"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E1426" w:rsidRPr="00EF56D9" w14:paraId="31FDCE2B" w14:textId="77777777" w:rsidTr="00C56DFD">
      <w:trPr>
        <w:cantSplit/>
        <w:trHeight w:val="355"/>
      </w:trPr>
      <w:tc>
        <w:tcPr>
          <w:tcW w:w="2122" w:type="dxa"/>
          <w:vMerge/>
          <w:vAlign w:val="center"/>
        </w:tcPr>
        <w:p w14:paraId="04E9A3E3" w14:textId="77777777" w:rsidR="009E1426" w:rsidRPr="00A128BC" w:rsidRDefault="009E1426" w:rsidP="00F64339">
          <w:pPr>
            <w:pStyle w:val="Kopfzeile"/>
            <w:jc w:val="center"/>
            <w:rPr>
              <w:rFonts w:ascii="Calibri" w:hAnsi="Calibri"/>
              <w:b/>
              <w:sz w:val="22"/>
              <w:lang w:val="de-DE" w:eastAsia="de-DE"/>
            </w:rPr>
          </w:pPr>
        </w:p>
      </w:tc>
      <w:tc>
        <w:tcPr>
          <w:tcW w:w="4536" w:type="dxa"/>
          <w:vMerge/>
          <w:vAlign w:val="center"/>
        </w:tcPr>
        <w:p w14:paraId="1240DF22" w14:textId="77777777" w:rsidR="009E1426" w:rsidRPr="00A128BC" w:rsidRDefault="009E1426" w:rsidP="00F64339">
          <w:pPr>
            <w:pStyle w:val="Kopfzeile"/>
            <w:jc w:val="center"/>
            <w:rPr>
              <w:rFonts w:ascii="Calibri" w:hAnsi="Calibri" w:cs="Arial"/>
              <w:b/>
              <w:sz w:val="28"/>
              <w:szCs w:val="28"/>
              <w:lang w:val="de-DE" w:eastAsia="de-DE"/>
            </w:rPr>
          </w:pPr>
        </w:p>
      </w:tc>
      <w:tc>
        <w:tcPr>
          <w:tcW w:w="2970" w:type="dxa"/>
          <w:gridSpan w:val="2"/>
          <w:vAlign w:val="center"/>
        </w:tcPr>
        <w:p w14:paraId="5DBCE082" w14:textId="15B35BF9" w:rsidR="009E1426" w:rsidRPr="008D5478" w:rsidRDefault="009E1426"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14:paraId="70DB1385" w14:textId="77777777" w:rsidR="009E1426" w:rsidRPr="000B097B" w:rsidRDefault="009E1426" w:rsidP="000B097B">
    <w:pPr>
      <w:spacing w:before="0" w:after="0"/>
      <w:rPr>
        <w:sz w:val="22"/>
        <w:szCs w:val="22"/>
      </w:rPr>
    </w:pPr>
  </w:p>
  <w:p w14:paraId="1F88D599" w14:textId="77777777" w:rsidR="009E1426" w:rsidRDefault="009E14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A991"/>
    <w:multiLevelType w:val="multilevel"/>
    <w:tmpl w:val="697C220E"/>
    <w:lvl w:ilvl="0">
      <w:start w:val="6"/>
      <w:numFmt w:val="bullet"/>
      <w:lvlText w:val="-"/>
      <w:lvlJc w:val="left"/>
      <w:pPr>
        <w:ind w:left="720" w:hanging="480"/>
      </w:pPr>
      <w:rPr>
        <w:rFonts w:ascii="Calibri" w:eastAsia="Times New Roman" w:hAnsi="Calibri" w:cs="Arial" w:hint="default"/>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1595729"/>
    <w:multiLevelType w:val="hybridMultilevel"/>
    <w:tmpl w:val="F30CA3A4"/>
    <w:lvl w:ilvl="0" w:tplc="331E85A0">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524DC5"/>
    <w:multiLevelType w:val="hybridMultilevel"/>
    <w:tmpl w:val="682CE9DA"/>
    <w:lvl w:ilvl="0" w:tplc="6764CC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052AF7"/>
    <w:multiLevelType w:val="hybridMultilevel"/>
    <w:tmpl w:val="2E2CBC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1E47E6"/>
    <w:multiLevelType w:val="hybridMultilevel"/>
    <w:tmpl w:val="F0160FC4"/>
    <w:lvl w:ilvl="0" w:tplc="62F0240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CB768E"/>
    <w:multiLevelType w:val="hybridMultilevel"/>
    <w:tmpl w:val="1BA259BA"/>
    <w:lvl w:ilvl="0" w:tplc="331E85A0">
      <w:start w:val="6"/>
      <w:numFmt w:val="bullet"/>
      <w:lvlText w:val="-"/>
      <w:lvlJc w:val="left"/>
      <w:pPr>
        <w:ind w:left="740" w:hanging="360"/>
      </w:pPr>
      <w:rPr>
        <w:rFonts w:ascii="Calibri" w:eastAsia="Times New Roman" w:hAnsi="Calibri" w:cs="Calibri"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10" w15:restartNumberingAfterBreak="0">
    <w:nsid w:val="15E82BF5"/>
    <w:multiLevelType w:val="hybridMultilevel"/>
    <w:tmpl w:val="5672D7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2A7C65"/>
    <w:multiLevelType w:val="hybridMultilevel"/>
    <w:tmpl w:val="56B8551C"/>
    <w:lvl w:ilvl="0" w:tplc="B5D2DA92">
      <w:numFmt w:val="bullet"/>
      <w:lvlText w:val="-"/>
      <w:lvlJc w:val="left"/>
      <w:pPr>
        <w:ind w:left="758"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F31D9"/>
    <w:multiLevelType w:val="hybridMultilevel"/>
    <w:tmpl w:val="86BA22D2"/>
    <w:lvl w:ilvl="0" w:tplc="1118261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9B611A"/>
    <w:multiLevelType w:val="hybridMultilevel"/>
    <w:tmpl w:val="DFD2F79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D87D12"/>
    <w:multiLevelType w:val="hybridMultilevel"/>
    <w:tmpl w:val="6A3041B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415278"/>
    <w:multiLevelType w:val="hybridMultilevel"/>
    <w:tmpl w:val="293644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57219E"/>
    <w:multiLevelType w:val="hybridMultilevel"/>
    <w:tmpl w:val="FB825728"/>
    <w:lvl w:ilvl="0" w:tplc="F35CB380">
      <w:start w:val="1"/>
      <w:numFmt w:val="decimal"/>
      <w:lvlText w:val="%1."/>
      <w:lvlJc w:val="left"/>
      <w:pPr>
        <w:ind w:left="720" w:hanging="360"/>
      </w:pPr>
      <w:rPr>
        <w:rFonts w:cs="Times New Roman" w:hint="default"/>
        <w:b w:val="0"/>
      </w:rPr>
    </w:lvl>
    <w:lvl w:ilvl="1" w:tplc="3C36325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4942F2"/>
    <w:multiLevelType w:val="hybridMultilevel"/>
    <w:tmpl w:val="D2F22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0D0CBA"/>
    <w:multiLevelType w:val="hybridMultilevel"/>
    <w:tmpl w:val="F224FF2E"/>
    <w:lvl w:ilvl="0" w:tplc="331E85A0">
      <w:start w:val="6"/>
      <w:numFmt w:val="bullet"/>
      <w:lvlText w:val="-"/>
      <w:lvlJc w:val="left"/>
      <w:pPr>
        <w:ind w:left="1118" w:hanging="360"/>
      </w:pPr>
      <w:rPr>
        <w:rFonts w:ascii="Calibri" w:eastAsia="Times New Roman" w:hAnsi="Calibri" w:cs="Calibri" w:hint="default"/>
      </w:rPr>
    </w:lvl>
    <w:lvl w:ilvl="1" w:tplc="04070003" w:tentative="1">
      <w:start w:val="1"/>
      <w:numFmt w:val="bullet"/>
      <w:lvlText w:val="o"/>
      <w:lvlJc w:val="left"/>
      <w:pPr>
        <w:ind w:left="1838" w:hanging="360"/>
      </w:pPr>
      <w:rPr>
        <w:rFonts w:ascii="Courier New" w:hAnsi="Courier New" w:cs="Courier New" w:hint="default"/>
      </w:rPr>
    </w:lvl>
    <w:lvl w:ilvl="2" w:tplc="04070005" w:tentative="1">
      <w:start w:val="1"/>
      <w:numFmt w:val="bullet"/>
      <w:lvlText w:val=""/>
      <w:lvlJc w:val="left"/>
      <w:pPr>
        <w:ind w:left="2558" w:hanging="360"/>
      </w:pPr>
      <w:rPr>
        <w:rFonts w:ascii="Wingdings" w:hAnsi="Wingdings" w:hint="default"/>
      </w:rPr>
    </w:lvl>
    <w:lvl w:ilvl="3" w:tplc="04070001" w:tentative="1">
      <w:start w:val="1"/>
      <w:numFmt w:val="bullet"/>
      <w:lvlText w:val=""/>
      <w:lvlJc w:val="left"/>
      <w:pPr>
        <w:ind w:left="3278" w:hanging="360"/>
      </w:pPr>
      <w:rPr>
        <w:rFonts w:ascii="Symbol" w:hAnsi="Symbol" w:hint="default"/>
      </w:rPr>
    </w:lvl>
    <w:lvl w:ilvl="4" w:tplc="04070003" w:tentative="1">
      <w:start w:val="1"/>
      <w:numFmt w:val="bullet"/>
      <w:lvlText w:val="o"/>
      <w:lvlJc w:val="left"/>
      <w:pPr>
        <w:ind w:left="3998" w:hanging="360"/>
      </w:pPr>
      <w:rPr>
        <w:rFonts w:ascii="Courier New" w:hAnsi="Courier New" w:cs="Courier New" w:hint="default"/>
      </w:rPr>
    </w:lvl>
    <w:lvl w:ilvl="5" w:tplc="04070005" w:tentative="1">
      <w:start w:val="1"/>
      <w:numFmt w:val="bullet"/>
      <w:lvlText w:val=""/>
      <w:lvlJc w:val="left"/>
      <w:pPr>
        <w:ind w:left="4718" w:hanging="360"/>
      </w:pPr>
      <w:rPr>
        <w:rFonts w:ascii="Wingdings" w:hAnsi="Wingdings" w:hint="default"/>
      </w:rPr>
    </w:lvl>
    <w:lvl w:ilvl="6" w:tplc="04070001" w:tentative="1">
      <w:start w:val="1"/>
      <w:numFmt w:val="bullet"/>
      <w:lvlText w:val=""/>
      <w:lvlJc w:val="left"/>
      <w:pPr>
        <w:ind w:left="5438" w:hanging="360"/>
      </w:pPr>
      <w:rPr>
        <w:rFonts w:ascii="Symbol" w:hAnsi="Symbol" w:hint="default"/>
      </w:rPr>
    </w:lvl>
    <w:lvl w:ilvl="7" w:tplc="04070003" w:tentative="1">
      <w:start w:val="1"/>
      <w:numFmt w:val="bullet"/>
      <w:lvlText w:val="o"/>
      <w:lvlJc w:val="left"/>
      <w:pPr>
        <w:ind w:left="6158" w:hanging="360"/>
      </w:pPr>
      <w:rPr>
        <w:rFonts w:ascii="Courier New" w:hAnsi="Courier New" w:cs="Courier New" w:hint="default"/>
      </w:rPr>
    </w:lvl>
    <w:lvl w:ilvl="8" w:tplc="04070005" w:tentative="1">
      <w:start w:val="1"/>
      <w:numFmt w:val="bullet"/>
      <w:lvlText w:val=""/>
      <w:lvlJc w:val="left"/>
      <w:pPr>
        <w:ind w:left="6878" w:hanging="360"/>
      </w:pPr>
      <w:rPr>
        <w:rFonts w:ascii="Wingdings" w:hAnsi="Wingdings" w:hint="default"/>
      </w:rPr>
    </w:lvl>
  </w:abstractNum>
  <w:abstractNum w:abstractNumId="27" w15:restartNumberingAfterBreak="0">
    <w:nsid w:val="40F9474E"/>
    <w:multiLevelType w:val="hybridMultilevel"/>
    <w:tmpl w:val="7C1E2272"/>
    <w:lvl w:ilvl="0" w:tplc="331E85A0">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3E269A"/>
    <w:multiLevelType w:val="hybridMultilevel"/>
    <w:tmpl w:val="906E6B74"/>
    <w:lvl w:ilvl="0" w:tplc="331E85A0">
      <w:start w:val="6"/>
      <w:numFmt w:val="bullet"/>
      <w:lvlText w:val="-"/>
      <w:lvlJc w:val="left"/>
      <w:pPr>
        <w:ind w:left="740" w:hanging="360"/>
      </w:pPr>
      <w:rPr>
        <w:rFonts w:ascii="Calibri" w:eastAsia="Times New Roman" w:hAnsi="Calibri" w:cs="Calibri"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29"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0" w15:restartNumberingAfterBreak="0">
    <w:nsid w:val="47787905"/>
    <w:multiLevelType w:val="hybridMultilevel"/>
    <w:tmpl w:val="F6A26530"/>
    <w:lvl w:ilvl="0" w:tplc="331E85A0">
      <w:start w:val="6"/>
      <w:numFmt w:val="bullet"/>
      <w:lvlText w:val="-"/>
      <w:lvlJc w:val="left"/>
      <w:pPr>
        <w:ind w:left="740" w:hanging="360"/>
      </w:pPr>
      <w:rPr>
        <w:rFonts w:ascii="Calibri" w:eastAsia="Times New Roman" w:hAnsi="Calibri" w:cs="Calibri"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31" w15:restartNumberingAfterBreak="0">
    <w:nsid w:val="49CF5BFB"/>
    <w:multiLevelType w:val="hybridMultilevel"/>
    <w:tmpl w:val="EFFE8C56"/>
    <w:lvl w:ilvl="0" w:tplc="331E85A0">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30200D"/>
    <w:multiLevelType w:val="hybridMultilevel"/>
    <w:tmpl w:val="AABA1F60"/>
    <w:lvl w:ilvl="0" w:tplc="331E85A0">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942F5B"/>
    <w:multiLevelType w:val="hybridMultilevel"/>
    <w:tmpl w:val="C87CD2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1F27B9F"/>
    <w:multiLevelType w:val="hybridMultilevel"/>
    <w:tmpl w:val="0F44F0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9B3376"/>
    <w:multiLevelType w:val="hybridMultilevel"/>
    <w:tmpl w:val="09CAE78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EF23460"/>
    <w:multiLevelType w:val="hybridMultilevel"/>
    <w:tmpl w:val="E87EF05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03760E"/>
    <w:multiLevelType w:val="hybridMultilevel"/>
    <w:tmpl w:val="7DE654F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1F00AC0"/>
    <w:multiLevelType w:val="hybridMultilevel"/>
    <w:tmpl w:val="32F8B4AA"/>
    <w:lvl w:ilvl="0" w:tplc="1118261C">
      <w:start w:val="1"/>
      <w:numFmt w:val="lowerLetter"/>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2"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513561D"/>
    <w:multiLevelType w:val="hybridMultilevel"/>
    <w:tmpl w:val="CE786550"/>
    <w:lvl w:ilvl="0" w:tplc="331E85A0">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95C487C"/>
    <w:multiLevelType w:val="hybridMultilevel"/>
    <w:tmpl w:val="273A1E0A"/>
    <w:lvl w:ilvl="0" w:tplc="331E85A0">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28A6E92"/>
    <w:multiLevelType w:val="hybridMultilevel"/>
    <w:tmpl w:val="9A42611A"/>
    <w:lvl w:ilvl="0" w:tplc="B5D2DA92">
      <w:numFmt w:val="bullet"/>
      <w:lvlText w:val="-"/>
      <w:lvlJc w:val="left"/>
      <w:pPr>
        <w:ind w:left="758" w:hanging="360"/>
      </w:pPr>
      <w:rPr>
        <w:rFonts w:ascii="Calibri" w:eastAsia="Times New Roman" w:hAnsi="Calibri" w:cs="Calibri"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47"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5353A85"/>
    <w:multiLevelType w:val="hybridMultilevel"/>
    <w:tmpl w:val="C87CD2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38"/>
  </w:num>
  <w:num w:numId="3">
    <w:abstractNumId w:val="49"/>
  </w:num>
  <w:num w:numId="4">
    <w:abstractNumId w:val="21"/>
  </w:num>
  <w:num w:numId="5">
    <w:abstractNumId w:val="3"/>
  </w:num>
  <w:num w:numId="6">
    <w:abstractNumId w:val="7"/>
  </w:num>
  <w:num w:numId="7">
    <w:abstractNumId w:val="42"/>
  </w:num>
  <w:num w:numId="8">
    <w:abstractNumId w:val="36"/>
  </w:num>
  <w:num w:numId="9">
    <w:abstractNumId w:val="50"/>
  </w:num>
  <w:num w:numId="10">
    <w:abstractNumId w:val="17"/>
  </w:num>
  <w:num w:numId="11">
    <w:abstractNumId w:val="5"/>
  </w:num>
  <w:num w:numId="12">
    <w:abstractNumId w:val="14"/>
  </w:num>
  <w:num w:numId="13">
    <w:abstractNumId w:val="45"/>
  </w:num>
  <w:num w:numId="14">
    <w:abstractNumId w:val="2"/>
  </w:num>
  <w:num w:numId="15">
    <w:abstractNumId w:val="11"/>
  </w:num>
  <w:num w:numId="16">
    <w:abstractNumId w:val="16"/>
  </w:num>
  <w:num w:numId="17">
    <w:abstractNumId w:val="18"/>
  </w:num>
  <w:num w:numId="18">
    <w:abstractNumId w:val="37"/>
  </w:num>
  <w:num w:numId="19">
    <w:abstractNumId w:val="23"/>
  </w:num>
  <w:num w:numId="20">
    <w:abstractNumId w:val="15"/>
  </w:num>
  <w:num w:numId="21">
    <w:abstractNumId w:val="47"/>
  </w:num>
  <w:num w:numId="22">
    <w:abstractNumId w:val="40"/>
  </w:num>
  <w:num w:numId="23">
    <w:abstractNumId w:val="4"/>
  </w:num>
  <w:num w:numId="24">
    <w:abstractNumId w:val="6"/>
  </w:num>
  <w:num w:numId="25">
    <w:abstractNumId w:val="24"/>
  </w:num>
  <w:num w:numId="26">
    <w:abstractNumId w:val="13"/>
  </w:num>
  <w:num w:numId="27">
    <w:abstractNumId w:val="33"/>
  </w:num>
  <w:num w:numId="28">
    <w:abstractNumId w:val="48"/>
  </w:num>
  <w:num w:numId="29">
    <w:abstractNumId w:val="0"/>
  </w:num>
  <w:num w:numId="30">
    <w:abstractNumId w:val="43"/>
  </w:num>
  <w:num w:numId="31">
    <w:abstractNumId w:val="25"/>
  </w:num>
  <w:num w:numId="32">
    <w:abstractNumId w:val="34"/>
  </w:num>
  <w:num w:numId="33">
    <w:abstractNumId w:val="41"/>
  </w:num>
  <w:num w:numId="34">
    <w:abstractNumId w:val="39"/>
  </w:num>
  <w:num w:numId="35">
    <w:abstractNumId w:val="19"/>
  </w:num>
  <w:num w:numId="36">
    <w:abstractNumId w:val="35"/>
  </w:num>
  <w:num w:numId="37">
    <w:abstractNumId w:val="20"/>
  </w:num>
  <w:num w:numId="38">
    <w:abstractNumId w:val="8"/>
  </w:num>
  <w:num w:numId="39">
    <w:abstractNumId w:val="27"/>
  </w:num>
  <w:num w:numId="40">
    <w:abstractNumId w:val="22"/>
  </w:num>
  <w:num w:numId="41">
    <w:abstractNumId w:val="10"/>
  </w:num>
  <w:num w:numId="42">
    <w:abstractNumId w:val="26"/>
  </w:num>
  <w:num w:numId="43">
    <w:abstractNumId w:val="46"/>
  </w:num>
  <w:num w:numId="44">
    <w:abstractNumId w:val="12"/>
  </w:num>
  <w:num w:numId="45">
    <w:abstractNumId w:val="30"/>
  </w:num>
  <w:num w:numId="46">
    <w:abstractNumId w:val="1"/>
  </w:num>
  <w:num w:numId="47">
    <w:abstractNumId w:val="9"/>
  </w:num>
  <w:num w:numId="48">
    <w:abstractNumId w:val="32"/>
  </w:num>
  <w:num w:numId="49">
    <w:abstractNumId w:val="44"/>
  </w:num>
  <w:num w:numId="50">
    <w:abstractNumId w:val="31"/>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xe6sabn8MBaYFi8GCjmqAWyvAUdRjv6Iq8aDtRKNBr3/pXpw0RyNC6zNd/VOMHDacPdwMh8hHiCDoLBoJLS1Q==" w:salt="Oja19uF27fqKl8MsvaWSgQ=="/>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59"/>
    <w:rsid w:val="0000138B"/>
    <w:rsid w:val="00001C43"/>
    <w:rsid w:val="00006FDF"/>
    <w:rsid w:val="00007BBB"/>
    <w:rsid w:val="000103C0"/>
    <w:rsid w:val="000113AB"/>
    <w:rsid w:val="000145CD"/>
    <w:rsid w:val="00015630"/>
    <w:rsid w:val="00021039"/>
    <w:rsid w:val="00031CA0"/>
    <w:rsid w:val="00033F75"/>
    <w:rsid w:val="00034C15"/>
    <w:rsid w:val="00036226"/>
    <w:rsid w:val="00037208"/>
    <w:rsid w:val="00043672"/>
    <w:rsid w:val="00043A88"/>
    <w:rsid w:val="0004629B"/>
    <w:rsid w:val="00046647"/>
    <w:rsid w:val="00052CC2"/>
    <w:rsid w:val="00057A43"/>
    <w:rsid w:val="00061988"/>
    <w:rsid w:val="00062F6B"/>
    <w:rsid w:val="00063A91"/>
    <w:rsid w:val="000664EC"/>
    <w:rsid w:val="00067E0A"/>
    <w:rsid w:val="00070D43"/>
    <w:rsid w:val="00072A0F"/>
    <w:rsid w:val="000756D4"/>
    <w:rsid w:val="000850E6"/>
    <w:rsid w:val="00087B7D"/>
    <w:rsid w:val="00090E2E"/>
    <w:rsid w:val="00092029"/>
    <w:rsid w:val="00093A56"/>
    <w:rsid w:val="00096845"/>
    <w:rsid w:val="000A3BC6"/>
    <w:rsid w:val="000A5400"/>
    <w:rsid w:val="000A661A"/>
    <w:rsid w:val="000A747E"/>
    <w:rsid w:val="000B097B"/>
    <w:rsid w:val="000B0B61"/>
    <w:rsid w:val="000B1D9D"/>
    <w:rsid w:val="000B3EA0"/>
    <w:rsid w:val="000B437B"/>
    <w:rsid w:val="000B5CB5"/>
    <w:rsid w:val="000C1B8A"/>
    <w:rsid w:val="000C4DE4"/>
    <w:rsid w:val="000C680C"/>
    <w:rsid w:val="000D0AB2"/>
    <w:rsid w:val="000D1CCD"/>
    <w:rsid w:val="000D2038"/>
    <w:rsid w:val="000D20C4"/>
    <w:rsid w:val="000D231F"/>
    <w:rsid w:val="000D3E10"/>
    <w:rsid w:val="000D4468"/>
    <w:rsid w:val="000D4CDF"/>
    <w:rsid w:val="000D6E6F"/>
    <w:rsid w:val="000D714B"/>
    <w:rsid w:val="000E132C"/>
    <w:rsid w:val="000E43D5"/>
    <w:rsid w:val="000E4E65"/>
    <w:rsid w:val="000E5985"/>
    <w:rsid w:val="000E6194"/>
    <w:rsid w:val="000E636F"/>
    <w:rsid w:val="000F02D1"/>
    <w:rsid w:val="000F1F79"/>
    <w:rsid w:val="000F4619"/>
    <w:rsid w:val="000F5076"/>
    <w:rsid w:val="000F7963"/>
    <w:rsid w:val="001041F6"/>
    <w:rsid w:val="001055D9"/>
    <w:rsid w:val="00107EA3"/>
    <w:rsid w:val="00110004"/>
    <w:rsid w:val="001104CE"/>
    <w:rsid w:val="001137B5"/>
    <w:rsid w:val="0011699F"/>
    <w:rsid w:val="00121024"/>
    <w:rsid w:val="00122641"/>
    <w:rsid w:val="00122A1A"/>
    <w:rsid w:val="00123222"/>
    <w:rsid w:val="00126D8D"/>
    <w:rsid w:val="0012725C"/>
    <w:rsid w:val="00131FFB"/>
    <w:rsid w:val="00134B5D"/>
    <w:rsid w:val="0013640D"/>
    <w:rsid w:val="00137FBC"/>
    <w:rsid w:val="00141A2C"/>
    <w:rsid w:val="00144D9E"/>
    <w:rsid w:val="0014582E"/>
    <w:rsid w:val="001462D1"/>
    <w:rsid w:val="001479ED"/>
    <w:rsid w:val="001504AF"/>
    <w:rsid w:val="001517C0"/>
    <w:rsid w:val="00153853"/>
    <w:rsid w:val="00157BC6"/>
    <w:rsid w:val="00157DE0"/>
    <w:rsid w:val="00160313"/>
    <w:rsid w:val="00161221"/>
    <w:rsid w:val="00163CD1"/>
    <w:rsid w:val="0017040D"/>
    <w:rsid w:val="001708CF"/>
    <w:rsid w:val="00171181"/>
    <w:rsid w:val="001730D4"/>
    <w:rsid w:val="001745D2"/>
    <w:rsid w:val="00181754"/>
    <w:rsid w:val="00181DD4"/>
    <w:rsid w:val="00183B03"/>
    <w:rsid w:val="001840CC"/>
    <w:rsid w:val="0018435A"/>
    <w:rsid w:val="001874C4"/>
    <w:rsid w:val="0019110F"/>
    <w:rsid w:val="00192F12"/>
    <w:rsid w:val="00195CCE"/>
    <w:rsid w:val="00196DCF"/>
    <w:rsid w:val="001A03D9"/>
    <w:rsid w:val="001A4281"/>
    <w:rsid w:val="001A5285"/>
    <w:rsid w:val="001A6C35"/>
    <w:rsid w:val="001B0FCB"/>
    <w:rsid w:val="001B12D4"/>
    <w:rsid w:val="001B1351"/>
    <w:rsid w:val="001B1B55"/>
    <w:rsid w:val="001B418E"/>
    <w:rsid w:val="001B77A8"/>
    <w:rsid w:val="001C181F"/>
    <w:rsid w:val="001C2533"/>
    <w:rsid w:val="001C468B"/>
    <w:rsid w:val="001C530F"/>
    <w:rsid w:val="001D113A"/>
    <w:rsid w:val="001D270A"/>
    <w:rsid w:val="001D5268"/>
    <w:rsid w:val="001D5E4C"/>
    <w:rsid w:val="001E016C"/>
    <w:rsid w:val="001E28ED"/>
    <w:rsid w:val="001E3F7C"/>
    <w:rsid w:val="001E64F2"/>
    <w:rsid w:val="001F4131"/>
    <w:rsid w:val="001F6F0B"/>
    <w:rsid w:val="001F7962"/>
    <w:rsid w:val="00200FBE"/>
    <w:rsid w:val="002019BC"/>
    <w:rsid w:val="002020D6"/>
    <w:rsid w:val="00202B3F"/>
    <w:rsid w:val="00202BE7"/>
    <w:rsid w:val="00204431"/>
    <w:rsid w:val="002053DB"/>
    <w:rsid w:val="00206351"/>
    <w:rsid w:val="002074DF"/>
    <w:rsid w:val="00211626"/>
    <w:rsid w:val="00217084"/>
    <w:rsid w:val="00217A07"/>
    <w:rsid w:val="00221A87"/>
    <w:rsid w:val="002235DA"/>
    <w:rsid w:val="0022407A"/>
    <w:rsid w:val="00224EA3"/>
    <w:rsid w:val="002256D6"/>
    <w:rsid w:val="002312D0"/>
    <w:rsid w:val="00231DD1"/>
    <w:rsid w:val="00232707"/>
    <w:rsid w:val="00233818"/>
    <w:rsid w:val="0023386A"/>
    <w:rsid w:val="00233C09"/>
    <w:rsid w:val="00234062"/>
    <w:rsid w:val="00236685"/>
    <w:rsid w:val="00236882"/>
    <w:rsid w:val="00240CA6"/>
    <w:rsid w:val="002423E7"/>
    <w:rsid w:val="00242DDF"/>
    <w:rsid w:val="00245704"/>
    <w:rsid w:val="002457AD"/>
    <w:rsid w:val="00250989"/>
    <w:rsid w:val="002533B4"/>
    <w:rsid w:val="00256B25"/>
    <w:rsid w:val="00257C7E"/>
    <w:rsid w:val="002607B5"/>
    <w:rsid w:val="00261854"/>
    <w:rsid w:val="00265687"/>
    <w:rsid w:val="002658DD"/>
    <w:rsid w:val="00266651"/>
    <w:rsid w:val="00266DA0"/>
    <w:rsid w:val="00266F43"/>
    <w:rsid w:val="00270E90"/>
    <w:rsid w:val="00272EB9"/>
    <w:rsid w:val="0027504C"/>
    <w:rsid w:val="002750EB"/>
    <w:rsid w:val="0027725E"/>
    <w:rsid w:val="00280296"/>
    <w:rsid w:val="0028051C"/>
    <w:rsid w:val="00281048"/>
    <w:rsid w:val="0028149D"/>
    <w:rsid w:val="00283B67"/>
    <w:rsid w:val="00284985"/>
    <w:rsid w:val="00285F8C"/>
    <w:rsid w:val="002866A5"/>
    <w:rsid w:val="00286E8F"/>
    <w:rsid w:val="00290660"/>
    <w:rsid w:val="00292A98"/>
    <w:rsid w:val="00297047"/>
    <w:rsid w:val="00297731"/>
    <w:rsid w:val="00297E0C"/>
    <w:rsid w:val="002A2DCB"/>
    <w:rsid w:val="002A34F6"/>
    <w:rsid w:val="002A7750"/>
    <w:rsid w:val="002A7BAF"/>
    <w:rsid w:val="002B0B79"/>
    <w:rsid w:val="002B5E25"/>
    <w:rsid w:val="002B612F"/>
    <w:rsid w:val="002B74B0"/>
    <w:rsid w:val="002C0198"/>
    <w:rsid w:val="002C0CD3"/>
    <w:rsid w:val="002C2898"/>
    <w:rsid w:val="002C2953"/>
    <w:rsid w:val="002C72C2"/>
    <w:rsid w:val="002D160F"/>
    <w:rsid w:val="002D4320"/>
    <w:rsid w:val="002D6CAB"/>
    <w:rsid w:val="002D6EC4"/>
    <w:rsid w:val="002E14F1"/>
    <w:rsid w:val="002E253F"/>
    <w:rsid w:val="002E6099"/>
    <w:rsid w:val="002F3B28"/>
    <w:rsid w:val="002F7A9D"/>
    <w:rsid w:val="0030195B"/>
    <w:rsid w:val="003035C1"/>
    <w:rsid w:val="003041B9"/>
    <w:rsid w:val="00304BCA"/>
    <w:rsid w:val="00305256"/>
    <w:rsid w:val="00305FE6"/>
    <w:rsid w:val="00306798"/>
    <w:rsid w:val="003101AD"/>
    <w:rsid w:val="003101CB"/>
    <w:rsid w:val="00310543"/>
    <w:rsid w:val="00312DF5"/>
    <w:rsid w:val="00321299"/>
    <w:rsid w:val="00321633"/>
    <w:rsid w:val="0032202C"/>
    <w:rsid w:val="003245F0"/>
    <w:rsid w:val="00324D0F"/>
    <w:rsid w:val="003258D8"/>
    <w:rsid w:val="003258EF"/>
    <w:rsid w:val="00326142"/>
    <w:rsid w:val="0032709B"/>
    <w:rsid w:val="00327210"/>
    <w:rsid w:val="003307B5"/>
    <w:rsid w:val="003328E2"/>
    <w:rsid w:val="00333A94"/>
    <w:rsid w:val="00333C21"/>
    <w:rsid w:val="00334DC1"/>
    <w:rsid w:val="0033562E"/>
    <w:rsid w:val="0034075A"/>
    <w:rsid w:val="003413BA"/>
    <w:rsid w:val="0034262B"/>
    <w:rsid w:val="00345A20"/>
    <w:rsid w:val="00347CC3"/>
    <w:rsid w:val="00350B36"/>
    <w:rsid w:val="0035125B"/>
    <w:rsid w:val="003516E3"/>
    <w:rsid w:val="00353352"/>
    <w:rsid w:val="00355C7F"/>
    <w:rsid w:val="003567D2"/>
    <w:rsid w:val="0036057D"/>
    <w:rsid w:val="00363991"/>
    <w:rsid w:val="003669B0"/>
    <w:rsid w:val="0037031C"/>
    <w:rsid w:val="00371AF2"/>
    <w:rsid w:val="00372695"/>
    <w:rsid w:val="0037730C"/>
    <w:rsid w:val="00382814"/>
    <w:rsid w:val="00384E92"/>
    <w:rsid w:val="00385C40"/>
    <w:rsid w:val="00387105"/>
    <w:rsid w:val="0039417E"/>
    <w:rsid w:val="00395B7A"/>
    <w:rsid w:val="00397801"/>
    <w:rsid w:val="003A182C"/>
    <w:rsid w:val="003A18A2"/>
    <w:rsid w:val="003A40A5"/>
    <w:rsid w:val="003A4445"/>
    <w:rsid w:val="003A612A"/>
    <w:rsid w:val="003B1DF8"/>
    <w:rsid w:val="003B4228"/>
    <w:rsid w:val="003C46A5"/>
    <w:rsid w:val="003C47AC"/>
    <w:rsid w:val="003C54EF"/>
    <w:rsid w:val="003D200C"/>
    <w:rsid w:val="003D23FB"/>
    <w:rsid w:val="003E66E1"/>
    <w:rsid w:val="003F1541"/>
    <w:rsid w:val="003F464E"/>
    <w:rsid w:val="003F5FC4"/>
    <w:rsid w:val="003F6476"/>
    <w:rsid w:val="003F6CE8"/>
    <w:rsid w:val="003F771A"/>
    <w:rsid w:val="003F7866"/>
    <w:rsid w:val="00400081"/>
    <w:rsid w:val="00400349"/>
    <w:rsid w:val="004038A5"/>
    <w:rsid w:val="00404AF9"/>
    <w:rsid w:val="00404E37"/>
    <w:rsid w:val="00406BD2"/>
    <w:rsid w:val="00410981"/>
    <w:rsid w:val="00410E3F"/>
    <w:rsid w:val="00411002"/>
    <w:rsid w:val="004159B4"/>
    <w:rsid w:val="00415F5A"/>
    <w:rsid w:val="004171E0"/>
    <w:rsid w:val="004201E6"/>
    <w:rsid w:val="00420667"/>
    <w:rsid w:val="004232AE"/>
    <w:rsid w:val="00427630"/>
    <w:rsid w:val="004310BD"/>
    <w:rsid w:val="00432264"/>
    <w:rsid w:val="004337D8"/>
    <w:rsid w:val="004376C0"/>
    <w:rsid w:val="00437A65"/>
    <w:rsid w:val="00441DD5"/>
    <w:rsid w:val="00442962"/>
    <w:rsid w:val="004429FE"/>
    <w:rsid w:val="00444D95"/>
    <w:rsid w:val="00444EB4"/>
    <w:rsid w:val="00445073"/>
    <w:rsid w:val="004460EE"/>
    <w:rsid w:val="004528F6"/>
    <w:rsid w:val="00452F30"/>
    <w:rsid w:val="00454743"/>
    <w:rsid w:val="00456494"/>
    <w:rsid w:val="0045771E"/>
    <w:rsid w:val="004633F5"/>
    <w:rsid w:val="00463C1A"/>
    <w:rsid w:val="00466EA5"/>
    <w:rsid w:val="00471A8E"/>
    <w:rsid w:val="004725FD"/>
    <w:rsid w:val="004748F5"/>
    <w:rsid w:val="00474CE5"/>
    <w:rsid w:val="00475F7F"/>
    <w:rsid w:val="004851BF"/>
    <w:rsid w:val="00486F6F"/>
    <w:rsid w:val="004913DE"/>
    <w:rsid w:val="00494264"/>
    <w:rsid w:val="004946EE"/>
    <w:rsid w:val="00494982"/>
    <w:rsid w:val="004949FD"/>
    <w:rsid w:val="0049571B"/>
    <w:rsid w:val="00497FE6"/>
    <w:rsid w:val="004A17DC"/>
    <w:rsid w:val="004A250C"/>
    <w:rsid w:val="004A41A8"/>
    <w:rsid w:val="004A5438"/>
    <w:rsid w:val="004A7422"/>
    <w:rsid w:val="004A7790"/>
    <w:rsid w:val="004B01B3"/>
    <w:rsid w:val="004B0265"/>
    <w:rsid w:val="004B188D"/>
    <w:rsid w:val="004B29A6"/>
    <w:rsid w:val="004B2B2D"/>
    <w:rsid w:val="004B36E7"/>
    <w:rsid w:val="004B4BEA"/>
    <w:rsid w:val="004B6359"/>
    <w:rsid w:val="004B6A18"/>
    <w:rsid w:val="004B7ADE"/>
    <w:rsid w:val="004C0E4F"/>
    <w:rsid w:val="004C30D0"/>
    <w:rsid w:val="004C7629"/>
    <w:rsid w:val="004D108B"/>
    <w:rsid w:val="004D1AB6"/>
    <w:rsid w:val="004D2984"/>
    <w:rsid w:val="004D42B7"/>
    <w:rsid w:val="004D4304"/>
    <w:rsid w:val="004E2DE7"/>
    <w:rsid w:val="004E51A0"/>
    <w:rsid w:val="004E728D"/>
    <w:rsid w:val="004E75AF"/>
    <w:rsid w:val="004F1854"/>
    <w:rsid w:val="004F4222"/>
    <w:rsid w:val="004F4F98"/>
    <w:rsid w:val="004F6A2E"/>
    <w:rsid w:val="004F7533"/>
    <w:rsid w:val="00500435"/>
    <w:rsid w:val="00500E66"/>
    <w:rsid w:val="0050278B"/>
    <w:rsid w:val="00502CE5"/>
    <w:rsid w:val="0050435D"/>
    <w:rsid w:val="00505342"/>
    <w:rsid w:val="00512AB2"/>
    <w:rsid w:val="00512E26"/>
    <w:rsid w:val="00513650"/>
    <w:rsid w:val="00516E12"/>
    <w:rsid w:val="00522054"/>
    <w:rsid w:val="00522E35"/>
    <w:rsid w:val="00524365"/>
    <w:rsid w:val="005252AC"/>
    <w:rsid w:val="00525ABD"/>
    <w:rsid w:val="00525D39"/>
    <w:rsid w:val="00526C62"/>
    <w:rsid w:val="00530011"/>
    <w:rsid w:val="00530425"/>
    <w:rsid w:val="0054132C"/>
    <w:rsid w:val="00542782"/>
    <w:rsid w:val="005429DE"/>
    <w:rsid w:val="005434BB"/>
    <w:rsid w:val="00545C41"/>
    <w:rsid w:val="00546335"/>
    <w:rsid w:val="00546A25"/>
    <w:rsid w:val="00547AE2"/>
    <w:rsid w:val="005502D2"/>
    <w:rsid w:val="00551536"/>
    <w:rsid w:val="00557A41"/>
    <w:rsid w:val="00560315"/>
    <w:rsid w:val="0056156A"/>
    <w:rsid w:val="00561DCA"/>
    <w:rsid w:val="00563E17"/>
    <w:rsid w:val="005650B6"/>
    <w:rsid w:val="005663B4"/>
    <w:rsid w:val="00566787"/>
    <w:rsid w:val="00567479"/>
    <w:rsid w:val="0057264C"/>
    <w:rsid w:val="00573870"/>
    <w:rsid w:val="00573946"/>
    <w:rsid w:val="005745EB"/>
    <w:rsid w:val="00574F1F"/>
    <w:rsid w:val="00577039"/>
    <w:rsid w:val="0058102A"/>
    <w:rsid w:val="00582A62"/>
    <w:rsid w:val="005854B5"/>
    <w:rsid w:val="00585805"/>
    <w:rsid w:val="005862A2"/>
    <w:rsid w:val="005924B9"/>
    <w:rsid w:val="005944B5"/>
    <w:rsid w:val="00595EEB"/>
    <w:rsid w:val="005A1055"/>
    <w:rsid w:val="005A42E9"/>
    <w:rsid w:val="005A55CB"/>
    <w:rsid w:val="005A621E"/>
    <w:rsid w:val="005B1421"/>
    <w:rsid w:val="005B28F1"/>
    <w:rsid w:val="005B37EC"/>
    <w:rsid w:val="005B488E"/>
    <w:rsid w:val="005B67DF"/>
    <w:rsid w:val="005B6BC5"/>
    <w:rsid w:val="005B7159"/>
    <w:rsid w:val="005C327F"/>
    <w:rsid w:val="005C5DCC"/>
    <w:rsid w:val="005C61A1"/>
    <w:rsid w:val="005C6EBB"/>
    <w:rsid w:val="005C7F87"/>
    <w:rsid w:val="005D09FD"/>
    <w:rsid w:val="005D2105"/>
    <w:rsid w:val="005D27F2"/>
    <w:rsid w:val="005E0FAD"/>
    <w:rsid w:val="005E3F3F"/>
    <w:rsid w:val="005E50C8"/>
    <w:rsid w:val="005E540A"/>
    <w:rsid w:val="005F213B"/>
    <w:rsid w:val="005F25F7"/>
    <w:rsid w:val="005F5441"/>
    <w:rsid w:val="005F58D1"/>
    <w:rsid w:val="005F5BEC"/>
    <w:rsid w:val="00600D83"/>
    <w:rsid w:val="00602E54"/>
    <w:rsid w:val="0060505E"/>
    <w:rsid w:val="00605721"/>
    <w:rsid w:val="00605E25"/>
    <w:rsid w:val="0060730C"/>
    <w:rsid w:val="00607F20"/>
    <w:rsid w:val="00613354"/>
    <w:rsid w:val="00615E35"/>
    <w:rsid w:val="0061728E"/>
    <w:rsid w:val="0062018E"/>
    <w:rsid w:val="00625CB7"/>
    <w:rsid w:val="006260C3"/>
    <w:rsid w:val="0062771F"/>
    <w:rsid w:val="00631A9D"/>
    <w:rsid w:val="0063244E"/>
    <w:rsid w:val="00633E0A"/>
    <w:rsid w:val="0063456A"/>
    <w:rsid w:val="00634619"/>
    <w:rsid w:val="00637097"/>
    <w:rsid w:val="00637CC4"/>
    <w:rsid w:val="00640276"/>
    <w:rsid w:val="00641092"/>
    <w:rsid w:val="006412D4"/>
    <w:rsid w:val="00642548"/>
    <w:rsid w:val="0064547E"/>
    <w:rsid w:val="006462B1"/>
    <w:rsid w:val="00647E5B"/>
    <w:rsid w:val="00650059"/>
    <w:rsid w:val="00650666"/>
    <w:rsid w:val="00650B37"/>
    <w:rsid w:val="0065103B"/>
    <w:rsid w:val="0065195A"/>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64CA"/>
    <w:rsid w:val="006779BD"/>
    <w:rsid w:val="00687350"/>
    <w:rsid w:val="0069083D"/>
    <w:rsid w:val="00690DEA"/>
    <w:rsid w:val="00692874"/>
    <w:rsid w:val="0069355D"/>
    <w:rsid w:val="00695DED"/>
    <w:rsid w:val="00697ADF"/>
    <w:rsid w:val="006A0572"/>
    <w:rsid w:val="006A080D"/>
    <w:rsid w:val="006A2EA2"/>
    <w:rsid w:val="006A51BF"/>
    <w:rsid w:val="006A52B4"/>
    <w:rsid w:val="006A596F"/>
    <w:rsid w:val="006A5E20"/>
    <w:rsid w:val="006A6399"/>
    <w:rsid w:val="006A7627"/>
    <w:rsid w:val="006B1E3A"/>
    <w:rsid w:val="006B2A51"/>
    <w:rsid w:val="006C2297"/>
    <w:rsid w:val="006C2309"/>
    <w:rsid w:val="006C7B10"/>
    <w:rsid w:val="006D0CBF"/>
    <w:rsid w:val="006D2C8D"/>
    <w:rsid w:val="006D4F57"/>
    <w:rsid w:val="006D50EC"/>
    <w:rsid w:val="006D6861"/>
    <w:rsid w:val="006D7679"/>
    <w:rsid w:val="006E16A6"/>
    <w:rsid w:val="006E1BB6"/>
    <w:rsid w:val="006E4BE3"/>
    <w:rsid w:val="006E7386"/>
    <w:rsid w:val="006F05D6"/>
    <w:rsid w:val="006F2636"/>
    <w:rsid w:val="006F2A96"/>
    <w:rsid w:val="00701642"/>
    <w:rsid w:val="00701EDB"/>
    <w:rsid w:val="00703BB1"/>
    <w:rsid w:val="00704F6A"/>
    <w:rsid w:val="00705B51"/>
    <w:rsid w:val="0071104F"/>
    <w:rsid w:val="00711BE5"/>
    <w:rsid w:val="00715097"/>
    <w:rsid w:val="0071511E"/>
    <w:rsid w:val="00716BB2"/>
    <w:rsid w:val="0072045B"/>
    <w:rsid w:val="00721FB0"/>
    <w:rsid w:val="00723B3A"/>
    <w:rsid w:val="00725427"/>
    <w:rsid w:val="00727B15"/>
    <w:rsid w:val="00727FC4"/>
    <w:rsid w:val="00731424"/>
    <w:rsid w:val="00731456"/>
    <w:rsid w:val="00731FA0"/>
    <w:rsid w:val="007346CD"/>
    <w:rsid w:val="007350DF"/>
    <w:rsid w:val="0074141C"/>
    <w:rsid w:val="00744B15"/>
    <w:rsid w:val="00744B3F"/>
    <w:rsid w:val="00747EE3"/>
    <w:rsid w:val="00750564"/>
    <w:rsid w:val="007519B9"/>
    <w:rsid w:val="00762635"/>
    <w:rsid w:val="00764BD2"/>
    <w:rsid w:val="00766EEF"/>
    <w:rsid w:val="00766FCF"/>
    <w:rsid w:val="00770C38"/>
    <w:rsid w:val="00771BAB"/>
    <w:rsid w:val="007734F4"/>
    <w:rsid w:val="00773B06"/>
    <w:rsid w:val="00773D0E"/>
    <w:rsid w:val="00780442"/>
    <w:rsid w:val="0078132C"/>
    <w:rsid w:val="007826AB"/>
    <w:rsid w:val="00784843"/>
    <w:rsid w:val="00785BC1"/>
    <w:rsid w:val="007906A0"/>
    <w:rsid w:val="0079247B"/>
    <w:rsid w:val="00794AB2"/>
    <w:rsid w:val="00796FC6"/>
    <w:rsid w:val="007A035B"/>
    <w:rsid w:val="007A1F3C"/>
    <w:rsid w:val="007A21AC"/>
    <w:rsid w:val="007A43E5"/>
    <w:rsid w:val="007A4B16"/>
    <w:rsid w:val="007A59EC"/>
    <w:rsid w:val="007A5CED"/>
    <w:rsid w:val="007A6E94"/>
    <w:rsid w:val="007B39BB"/>
    <w:rsid w:val="007B5E2D"/>
    <w:rsid w:val="007B6BAA"/>
    <w:rsid w:val="007B7F7D"/>
    <w:rsid w:val="007C06A2"/>
    <w:rsid w:val="007C0C6E"/>
    <w:rsid w:val="007C24B8"/>
    <w:rsid w:val="007C5A3B"/>
    <w:rsid w:val="007D016F"/>
    <w:rsid w:val="007D10E5"/>
    <w:rsid w:val="007D3F20"/>
    <w:rsid w:val="007D4693"/>
    <w:rsid w:val="007D4C71"/>
    <w:rsid w:val="007D69A8"/>
    <w:rsid w:val="007D6CD5"/>
    <w:rsid w:val="007D6E3A"/>
    <w:rsid w:val="007D7F5A"/>
    <w:rsid w:val="007E1705"/>
    <w:rsid w:val="007E555D"/>
    <w:rsid w:val="007E5A49"/>
    <w:rsid w:val="007E634D"/>
    <w:rsid w:val="007F1BF3"/>
    <w:rsid w:val="007F1C0E"/>
    <w:rsid w:val="007F45DE"/>
    <w:rsid w:val="007F6C46"/>
    <w:rsid w:val="00801701"/>
    <w:rsid w:val="00801FFB"/>
    <w:rsid w:val="008058B3"/>
    <w:rsid w:val="00806167"/>
    <w:rsid w:val="00812107"/>
    <w:rsid w:val="00812167"/>
    <w:rsid w:val="008126A6"/>
    <w:rsid w:val="008142E5"/>
    <w:rsid w:val="00814F97"/>
    <w:rsid w:val="00815093"/>
    <w:rsid w:val="00815FED"/>
    <w:rsid w:val="00821E5E"/>
    <w:rsid w:val="00822215"/>
    <w:rsid w:val="00835231"/>
    <w:rsid w:val="008364D1"/>
    <w:rsid w:val="008377F5"/>
    <w:rsid w:val="0084033E"/>
    <w:rsid w:val="00840AD2"/>
    <w:rsid w:val="00845D0C"/>
    <w:rsid w:val="00850841"/>
    <w:rsid w:val="00851B5F"/>
    <w:rsid w:val="008525F7"/>
    <w:rsid w:val="00852B05"/>
    <w:rsid w:val="008539A2"/>
    <w:rsid w:val="0085472A"/>
    <w:rsid w:val="00854A4F"/>
    <w:rsid w:val="00856DFB"/>
    <w:rsid w:val="00861479"/>
    <w:rsid w:val="00862AA0"/>
    <w:rsid w:val="008632CC"/>
    <w:rsid w:val="00870EEB"/>
    <w:rsid w:val="00872E7D"/>
    <w:rsid w:val="00875770"/>
    <w:rsid w:val="00876CA8"/>
    <w:rsid w:val="008811A1"/>
    <w:rsid w:val="00893100"/>
    <w:rsid w:val="0089375B"/>
    <w:rsid w:val="008939B1"/>
    <w:rsid w:val="008948B3"/>
    <w:rsid w:val="00894A42"/>
    <w:rsid w:val="008A0BC3"/>
    <w:rsid w:val="008A0C60"/>
    <w:rsid w:val="008A3E75"/>
    <w:rsid w:val="008A5B72"/>
    <w:rsid w:val="008B2446"/>
    <w:rsid w:val="008B4425"/>
    <w:rsid w:val="008B4FE7"/>
    <w:rsid w:val="008B571B"/>
    <w:rsid w:val="008B5DA0"/>
    <w:rsid w:val="008C0A2E"/>
    <w:rsid w:val="008C2078"/>
    <w:rsid w:val="008C379C"/>
    <w:rsid w:val="008C56C5"/>
    <w:rsid w:val="008C67EB"/>
    <w:rsid w:val="008C6C95"/>
    <w:rsid w:val="008C763F"/>
    <w:rsid w:val="008C7698"/>
    <w:rsid w:val="008C7FB6"/>
    <w:rsid w:val="008D046E"/>
    <w:rsid w:val="008D1A16"/>
    <w:rsid w:val="008D34AB"/>
    <w:rsid w:val="008D5478"/>
    <w:rsid w:val="008D5BD0"/>
    <w:rsid w:val="008E2319"/>
    <w:rsid w:val="008E3051"/>
    <w:rsid w:val="008E6CBC"/>
    <w:rsid w:val="008F5CA8"/>
    <w:rsid w:val="008F6E40"/>
    <w:rsid w:val="0090016B"/>
    <w:rsid w:val="00901447"/>
    <w:rsid w:val="009017B8"/>
    <w:rsid w:val="0090339C"/>
    <w:rsid w:val="009049C9"/>
    <w:rsid w:val="00905315"/>
    <w:rsid w:val="00905EB6"/>
    <w:rsid w:val="00906C84"/>
    <w:rsid w:val="00907129"/>
    <w:rsid w:val="0091041B"/>
    <w:rsid w:val="00916914"/>
    <w:rsid w:val="009256DF"/>
    <w:rsid w:val="009274EA"/>
    <w:rsid w:val="00927D33"/>
    <w:rsid w:val="00930892"/>
    <w:rsid w:val="00933C23"/>
    <w:rsid w:val="009341AB"/>
    <w:rsid w:val="0093468C"/>
    <w:rsid w:val="0093539B"/>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67F8F"/>
    <w:rsid w:val="00973473"/>
    <w:rsid w:val="0097471C"/>
    <w:rsid w:val="0097732A"/>
    <w:rsid w:val="00980EB8"/>
    <w:rsid w:val="0098236B"/>
    <w:rsid w:val="00982D08"/>
    <w:rsid w:val="009831F6"/>
    <w:rsid w:val="00993637"/>
    <w:rsid w:val="009941B9"/>
    <w:rsid w:val="00997446"/>
    <w:rsid w:val="0099770A"/>
    <w:rsid w:val="009A16E9"/>
    <w:rsid w:val="009A1BC0"/>
    <w:rsid w:val="009A26B6"/>
    <w:rsid w:val="009A4612"/>
    <w:rsid w:val="009A4D3E"/>
    <w:rsid w:val="009A673A"/>
    <w:rsid w:val="009B0F84"/>
    <w:rsid w:val="009B26A0"/>
    <w:rsid w:val="009B3141"/>
    <w:rsid w:val="009B5414"/>
    <w:rsid w:val="009C0663"/>
    <w:rsid w:val="009C2BD0"/>
    <w:rsid w:val="009C317A"/>
    <w:rsid w:val="009C4008"/>
    <w:rsid w:val="009C5A97"/>
    <w:rsid w:val="009C6B63"/>
    <w:rsid w:val="009D0659"/>
    <w:rsid w:val="009D113F"/>
    <w:rsid w:val="009D14FF"/>
    <w:rsid w:val="009D3870"/>
    <w:rsid w:val="009D3D8A"/>
    <w:rsid w:val="009D5111"/>
    <w:rsid w:val="009D5659"/>
    <w:rsid w:val="009D5C78"/>
    <w:rsid w:val="009D5E4A"/>
    <w:rsid w:val="009E0238"/>
    <w:rsid w:val="009E0F02"/>
    <w:rsid w:val="009E1426"/>
    <w:rsid w:val="009E23EC"/>
    <w:rsid w:val="009E44DE"/>
    <w:rsid w:val="009E63A2"/>
    <w:rsid w:val="009F243B"/>
    <w:rsid w:val="009F681F"/>
    <w:rsid w:val="009F7FD9"/>
    <w:rsid w:val="00A00D6E"/>
    <w:rsid w:val="00A0143C"/>
    <w:rsid w:val="00A02840"/>
    <w:rsid w:val="00A04BFD"/>
    <w:rsid w:val="00A05E39"/>
    <w:rsid w:val="00A07CE0"/>
    <w:rsid w:val="00A1065F"/>
    <w:rsid w:val="00A10987"/>
    <w:rsid w:val="00A128BC"/>
    <w:rsid w:val="00A15C23"/>
    <w:rsid w:val="00A17A2D"/>
    <w:rsid w:val="00A203BB"/>
    <w:rsid w:val="00A20479"/>
    <w:rsid w:val="00A219B9"/>
    <w:rsid w:val="00A23175"/>
    <w:rsid w:val="00A23632"/>
    <w:rsid w:val="00A23DAB"/>
    <w:rsid w:val="00A25AED"/>
    <w:rsid w:val="00A26B1A"/>
    <w:rsid w:val="00A27890"/>
    <w:rsid w:val="00A30F5A"/>
    <w:rsid w:val="00A34356"/>
    <w:rsid w:val="00A351A2"/>
    <w:rsid w:val="00A357FE"/>
    <w:rsid w:val="00A4099D"/>
    <w:rsid w:val="00A4553C"/>
    <w:rsid w:val="00A51836"/>
    <w:rsid w:val="00A551AB"/>
    <w:rsid w:val="00A57F91"/>
    <w:rsid w:val="00A60F4D"/>
    <w:rsid w:val="00A61A27"/>
    <w:rsid w:val="00A67A8F"/>
    <w:rsid w:val="00A70FC5"/>
    <w:rsid w:val="00A71FFC"/>
    <w:rsid w:val="00A7386A"/>
    <w:rsid w:val="00A74F77"/>
    <w:rsid w:val="00A759A8"/>
    <w:rsid w:val="00A7730A"/>
    <w:rsid w:val="00A80D0C"/>
    <w:rsid w:val="00A923EE"/>
    <w:rsid w:val="00A97D52"/>
    <w:rsid w:val="00AA0635"/>
    <w:rsid w:val="00AA127A"/>
    <w:rsid w:val="00AA12FD"/>
    <w:rsid w:val="00AA279E"/>
    <w:rsid w:val="00AA2F3E"/>
    <w:rsid w:val="00AA3EA7"/>
    <w:rsid w:val="00AA6B6D"/>
    <w:rsid w:val="00AA77D0"/>
    <w:rsid w:val="00AA78CD"/>
    <w:rsid w:val="00AB1CDB"/>
    <w:rsid w:val="00AB51B8"/>
    <w:rsid w:val="00AC092F"/>
    <w:rsid w:val="00AC1996"/>
    <w:rsid w:val="00AC1B16"/>
    <w:rsid w:val="00AC1C5E"/>
    <w:rsid w:val="00AC205D"/>
    <w:rsid w:val="00AD15D8"/>
    <w:rsid w:val="00AD20F7"/>
    <w:rsid w:val="00AD5C07"/>
    <w:rsid w:val="00AD5E38"/>
    <w:rsid w:val="00AD61D2"/>
    <w:rsid w:val="00AD6C34"/>
    <w:rsid w:val="00AD74CA"/>
    <w:rsid w:val="00AD7754"/>
    <w:rsid w:val="00AD7D98"/>
    <w:rsid w:val="00AE25EF"/>
    <w:rsid w:val="00AE5D20"/>
    <w:rsid w:val="00AE667F"/>
    <w:rsid w:val="00AF1D3A"/>
    <w:rsid w:val="00AF3670"/>
    <w:rsid w:val="00AF36EE"/>
    <w:rsid w:val="00AF5DFB"/>
    <w:rsid w:val="00AF6EF2"/>
    <w:rsid w:val="00AF7506"/>
    <w:rsid w:val="00B024A3"/>
    <w:rsid w:val="00B02BFA"/>
    <w:rsid w:val="00B03392"/>
    <w:rsid w:val="00B03D13"/>
    <w:rsid w:val="00B04C23"/>
    <w:rsid w:val="00B05CF2"/>
    <w:rsid w:val="00B06958"/>
    <w:rsid w:val="00B078CB"/>
    <w:rsid w:val="00B138AF"/>
    <w:rsid w:val="00B13AC9"/>
    <w:rsid w:val="00B17957"/>
    <w:rsid w:val="00B21700"/>
    <w:rsid w:val="00B2226A"/>
    <w:rsid w:val="00B22C15"/>
    <w:rsid w:val="00B26F9A"/>
    <w:rsid w:val="00B31186"/>
    <w:rsid w:val="00B32C5C"/>
    <w:rsid w:val="00B34D12"/>
    <w:rsid w:val="00B34DAE"/>
    <w:rsid w:val="00B37CE8"/>
    <w:rsid w:val="00B403D1"/>
    <w:rsid w:val="00B46A68"/>
    <w:rsid w:val="00B475D7"/>
    <w:rsid w:val="00B475F8"/>
    <w:rsid w:val="00B5011F"/>
    <w:rsid w:val="00B507EA"/>
    <w:rsid w:val="00B51F0D"/>
    <w:rsid w:val="00B54182"/>
    <w:rsid w:val="00B62DFD"/>
    <w:rsid w:val="00B630AF"/>
    <w:rsid w:val="00B643E6"/>
    <w:rsid w:val="00B65027"/>
    <w:rsid w:val="00B7076C"/>
    <w:rsid w:val="00B71404"/>
    <w:rsid w:val="00B72313"/>
    <w:rsid w:val="00B73E25"/>
    <w:rsid w:val="00B741E0"/>
    <w:rsid w:val="00B8114B"/>
    <w:rsid w:val="00B81499"/>
    <w:rsid w:val="00B81DEB"/>
    <w:rsid w:val="00B828A8"/>
    <w:rsid w:val="00B842EA"/>
    <w:rsid w:val="00B84EB1"/>
    <w:rsid w:val="00B87A06"/>
    <w:rsid w:val="00B917D1"/>
    <w:rsid w:val="00B91C46"/>
    <w:rsid w:val="00B941EF"/>
    <w:rsid w:val="00B95832"/>
    <w:rsid w:val="00B95D61"/>
    <w:rsid w:val="00B97683"/>
    <w:rsid w:val="00BA3037"/>
    <w:rsid w:val="00BA343B"/>
    <w:rsid w:val="00BA42BE"/>
    <w:rsid w:val="00BA5C85"/>
    <w:rsid w:val="00BA6B83"/>
    <w:rsid w:val="00BA700A"/>
    <w:rsid w:val="00BA7A4D"/>
    <w:rsid w:val="00BB0FBC"/>
    <w:rsid w:val="00BB1535"/>
    <w:rsid w:val="00BB2CB9"/>
    <w:rsid w:val="00BB4B29"/>
    <w:rsid w:val="00BB55C4"/>
    <w:rsid w:val="00BB6868"/>
    <w:rsid w:val="00BC446D"/>
    <w:rsid w:val="00BC578C"/>
    <w:rsid w:val="00BC6455"/>
    <w:rsid w:val="00BD086E"/>
    <w:rsid w:val="00BD1687"/>
    <w:rsid w:val="00BD1EA3"/>
    <w:rsid w:val="00BD1F4E"/>
    <w:rsid w:val="00BD2780"/>
    <w:rsid w:val="00BD3CBD"/>
    <w:rsid w:val="00BD7E1B"/>
    <w:rsid w:val="00BD7F77"/>
    <w:rsid w:val="00BE084E"/>
    <w:rsid w:val="00BE3E80"/>
    <w:rsid w:val="00BE4D0B"/>
    <w:rsid w:val="00BE65D2"/>
    <w:rsid w:val="00BF0978"/>
    <w:rsid w:val="00BF12F4"/>
    <w:rsid w:val="00BF413D"/>
    <w:rsid w:val="00BF73F7"/>
    <w:rsid w:val="00BF7930"/>
    <w:rsid w:val="00C00B25"/>
    <w:rsid w:val="00C02041"/>
    <w:rsid w:val="00C03A38"/>
    <w:rsid w:val="00C0553C"/>
    <w:rsid w:val="00C07CAA"/>
    <w:rsid w:val="00C102D6"/>
    <w:rsid w:val="00C141A3"/>
    <w:rsid w:val="00C16312"/>
    <w:rsid w:val="00C171A5"/>
    <w:rsid w:val="00C175AD"/>
    <w:rsid w:val="00C17F15"/>
    <w:rsid w:val="00C25A94"/>
    <w:rsid w:val="00C300C7"/>
    <w:rsid w:val="00C31239"/>
    <w:rsid w:val="00C34D79"/>
    <w:rsid w:val="00C35072"/>
    <w:rsid w:val="00C36499"/>
    <w:rsid w:val="00C36C62"/>
    <w:rsid w:val="00C37521"/>
    <w:rsid w:val="00C41162"/>
    <w:rsid w:val="00C4273A"/>
    <w:rsid w:val="00C47515"/>
    <w:rsid w:val="00C47C1A"/>
    <w:rsid w:val="00C50F99"/>
    <w:rsid w:val="00C513C6"/>
    <w:rsid w:val="00C52233"/>
    <w:rsid w:val="00C54F6D"/>
    <w:rsid w:val="00C56480"/>
    <w:rsid w:val="00C56DFD"/>
    <w:rsid w:val="00C60ABC"/>
    <w:rsid w:val="00C64305"/>
    <w:rsid w:val="00C64DE9"/>
    <w:rsid w:val="00C65BDD"/>
    <w:rsid w:val="00C71E7D"/>
    <w:rsid w:val="00C73BEC"/>
    <w:rsid w:val="00C82EE9"/>
    <w:rsid w:val="00C84C13"/>
    <w:rsid w:val="00C8685E"/>
    <w:rsid w:val="00C869F8"/>
    <w:rsid w:val="00C87C9E"/>
    <w:rsid w:val="00C90002"/>
    <w:rsid w:val="00C901BE"/>
    <w:rsid w:val="00C94D85"/>
    <w:rsid w:val="00C96561"/>
    <w:rsid w:val="00CA1A1B"/>
    <w:rsid w:val="00CA21C9"/>
    <w:rsid w:val="00CA50D6"/>
    <w:rsid w:val="00CA731E"/>
    <w:rsid w:val="00CB0A8A"/>
    <w:rsid w:val="00CB1B54"/>
    <w:rsid w:val="00CB2F0C"/>
    <w:rsid w:val="00CB3819"/>
    <w:rsid w:val="00CB5060"/>
    <w:rsid w:val="00CC10A5"/>
    <w:rsid w:val="00CC2993"/>
    <w:rsid w:val="00CC4B5E"/>
    <w:rsid w:val="00CC6532"/>
    <w:rsid w:val="00CD0DAD"/>
    <w:rsid w:val="00CD0F03"/>
    <w:rsid w:val="00CD42B9"/>
    <w:rsid w:val="00CD4E23"/>
    <w:rsid w:val="00CD6B04"/>
    <w:rsid w:val="00CD6F47"/>
    <w:rsid w:val="00CD7EBA"/>
    <w:rsid w:val="00CE2548"/>
    <w:rsid w:val="00CE3FA2"/>
    <w:rsid w:val="00CE42D5"/>
    <w:rsid w:val="00CE517D"/>
    <w:rsid w:val="00CF040D"/>
    <w:rsid w:val="00CF064C"/>
    <w:rsid w:val="00CF72B6"/>
    <w:rsid w:val="00D003A5"/>
    <w:rsid w:val="00D00537"/>
    <w:rsid w:val="00D067AF"/>
    <w:rsid w:val="00D06B71"/>
    <w:rsid w:val="00D100CA"/>
    <w:rsid w:val="00D106F2"/>
    <w:rsid w:val="00D147C5"/>
    <w:rsid w:val="00D16CA8"/>
    <w:rsid w:val="00D200B5"/>
    <w:rsid w:val="00D2194D"/>
    <w:rsid w:val="00D23895"/>
    <w:rsid w:val="00D30460"/>
    <w:rsid w:val="00D30C52"/>
    <w:rsid w:val="00D34E97"/>
    <w:rsid w:val="00D34F46"/>
    <w:rsid w:val="00D351A5"/>
    <w:rsid w:val="00D355DC"/>
    <w:rsid w:val="00D356C9"/>
    <w:rsid w:val="00D36FB6"/>
    <w:rsid w:val="00D425EA"/>
    <w:rsid w:val="00D46283"/>
    <w:rsid w:val="00D47D70"/>
    <w:rsid w:val="00D515CE"/>
    <w:rsid w:val="00D518B1"/>
    <w:rsid w:val="00D5403B"/>
    <w:rsid w:val="00D576BA"/>
    <w:rsid w:val="00D57E59"/>
    <w:rsid w:val="00D57FD6"/>
    <w:rsid w:val="00D623CF"/>
    <w:rsid w:val="00D64E19"/>
    <w:rsid w:val="00D662FC"/>
    <w:rsid w:val="00D678CA"/>
    <w:rsid w:val="00D70588"/>
    <w:rsid w:val="00D72993"/>
    <w:rsid w:val="00D74363"/>
    <w:rsid w:val="00D75625"/>
    <w:rsid w:val="00D76397"/>
    <w:rsid w:val="00D81D9B"/>
    <w:rsid w:val="00D83941"/>
    <w:rsid w:val="00D8480C"/>
    <w:rsid w:val="00D92D7C"/>
    <w:rsid w:val="00D94592"/>
    <w:rsid w:val="00D94A46"/>
    <w:rsid w:val="00D96A13"/>
    <w:rsid w:val="00D975B7"/>
    <w:rsid w:val="00D97737"/>
    <w:rsid w:val="00DA35D4"/>
    <w:rsid w:val="00DA3EF6"/>
    <w:rsid w:val="00DA586B"/>
    <w:rsid w:val="00DB3105"/>
    <w:rsid w:val="00DB3808"/>
    <w:rsid w:val="00DC2CA4"/>
    <w:rsid w:val="00DC4A3D"/>
    <w:rsid w:val="00DC4E12"/>
    <w:rsid w:val="00DC60B9"/>
    <w:rsid w:val="00DD13D4"/>
    <w:rsid w:val="00DD1529"/>
    <w:rsid w:val="00DD4268"/>
    <w:rsid w:val="00DD482E"/>
    <w:rsid w:val="00DD6C4F"/>
    <w:rsid w:val="00DD73EC"/>
    <w:rsid w:val="00DD7D84"/>
    <w:rsid w:val="00DE37C6"/>
    <w:rsid w:val="00DE783E"/>
    <w:rsid w:val="00DF00DF"/>
    <w:rsid w:val="00DF17D9"/>
    <w:rsid w:val="00DF1936"/>
    <w:rsid w:val="00DF2E60"/>
    <w:rsid w:val="00DF7CE2"/>
    <w:rsid w:val="00E0059F"/>
    <w:rsid w:val="00E02C9D"/>
    <w:rsid w:val="00E048BE"/>
    <w:rsid w:val="00E05D65"/>
    <w:rsid w:val="00E11B48"/>
    <w:rsid w:val="00E209E4"/>
    <w:rsid w:val="00E241B4"/>
    <w:rsid w:val="00E24600"/>
    <w:rsid w:val="00E24708"/>
    <w:rsid w:val="00E24F63"/>
    <w:rsid w:val="00E2533D"/>
    <w:rsid w:val="00E269EA"/>
    <w:rsid w:val="00E27448"/>
    <w:rsid w:val="00E31FAC"/>
    <w:rsid w:val="00E33DBA"/>
    <w:rsid w:val="00E35630"/>
    <w:rsid w:val="00E366A7"/>
    <w:rsid w:val="00E378E6"/>
    <w:rsid w:val="00E45063"/>
    <w:rsid w:val="00E47267"/>
    <w:rsid w:val="00E532A9"/>
    <w:rsid w:val="00E63B3F"/>
    <w:rsid w:val="00E65BD9"/>
    <w:rsid w:val="00E66A0E"/>
    <w:rsid w:val="00E70A82"/>
    <w:rsid w:val="00E71C33"/>
    <w:rsid w:val="00E734D8"/>
    <w:rsid w:val="00E7433E"/>
    <w:rsid w:val="00E779EB"/>
    <w:rsid w:val="00E80C97"/>
    <w:rsid w:val="00E80D97"/>
    <w:rsid w:val="00E840A6"/>
    <w:rsid w:val="00E843A5"/>
    <w:rsid w:val="00E90C6B"/>
    <w:rsid w:val="00E9295E"/>
    <w:rsid w:val="00E94E30"/>
    <w:rsid w:val="00E94E91"/>
    <w:rsid w:val="00E97706"/>
    <w:rsid w:val="00E9776F"/>
    <w:rsid w:val="00EA1779"/>
    <w:rsid w:val="00EA1A7C"/>
    <w:rsid w:val="00EA23BB"/>
    <w:rsid w:val="00EA3460"/>
    <w:rsid w:val="00EA3DB8"/>
    <w:rsid w:val="00EA5A5E"/>
    <w:rsid w:val="00EA5B7A"/>
    <w:rsid w:val="00EB2B48"/>
    <w:rsid w:val="00EB4195"/>
    <w:rsid w:val="00EB5548"/>
    <w:rsid w:val="00EB557B"/>
    <w:rsid w:val="00EB70FA"/>
    <w:rsid w:val="00EB7AFB"/>
    <w:rsid w:val="00EC077B"/>
    <w:rsid w:val="00EC09E4"/>
    <w:rsid w:val="00EC2591"/>
    <w:rsid w:val="00EC47DA"/>
    <w:rsid w:val="00ED04E0"/>
    <w:rsid w:val="00ED0C3A"/>
    <w:rsid w:val="00ED2615"/>
    <w:rsid w:val="00ED7FCC"/>
    <w:rsid w:val="00EE02B7"/>
    <w:rsid w:val="00EE0F3F"/>
    <w:rsid w:val="00EE2420"/>
    <w:rsid w:val="00EE5FF6"/>
    <w:rsid w:val="00EE731E"/>
    <w:rsid w:val="00EE73F2"/>
    <w:rsid w:val="00EF2FB6"/>
    <w:rsid w:val="00F0124D"/>
    <w:rsid w:val="00F0314D"/>
    <w:rsid w:val="00F04EE8"/>
    <w:rsid w:val="00F05D84"/>
    <w:rsid w:val="00F06352"/>
    <w:rsid w:val="00F0787A"/>
    <w:rsid w:val="00F14053"/>
    <w:rsid w:val="00F22616"/>
    <w:rsid w:val="00F2357D"/>
    <w:rsid w:val="00F245F6"/>
    <w:rsid w:val="00F24712"/>
    <w:rsid w:val="00F247EB"/>
    <w:rsid w:val="00F30353"/>
    <w:rsid w:val="00F30F1D"/>
    <w:rsid w:val="00F33A11"/>
    <w:rsid w:val="00F349FF"/>
    <w:rsid w:val="00F41365"/>
    <w:rsid w:val="00F536AB"/>
    <w:rsid w:val="00F542F1"/>
    <w:rsid w:val="00F54953"/>
    <w:rsid w:val="00F56070"/>
    <w:rsid w:val="00F56DDD"/>
    <w:rsid w:val="00F56DF7"/>
    <w:rsid w:val="00F57680"/>
    <w:rsid w:val="00F57F76"/>
    <w:rsid w:val="00F617F0"/>
    <w:rsid w:val="00F64339"/>
    <w:rsid w:val="00F6690C"/>
    <w:rsid w:val="00F6731F"/>
    <w:rsid w:val="00F6785C"/>
    <w:rsid w:val="00F73751"/>
    <w:rsid w:val="00F74BA5"/>
    <w:rsid w:val="00F800EC"/>
    <w:rsid w:val="00F81F14"/>
    <w:rsid w:val="00F82152"/>
    <w:rsid w:val="00F8406A"/>
    <w:rsid w:val="00F85797"/>
    <w:rsid w:val="00F90EE5"/>
    <w:rsid w:val="00F9403C"/>
    <w:rsid w:val="00F943A8"/>
    <w:rsid w:val="00F9468F"/>
    <w:rsid w:val="00F95DE7"/>
    <w:rsid w:val="00F96F42"/>
    <w:rsid w:val="00FA1528"/>
    <w:rsid w:val="00FA15E5"/>
    <w:rsid w:val="00FA1AC6"/>
    <w:rsid w:val="00FA1D4F"/>
    <w:rsid w:val="00FA2DE8"/>
    <w:rsid w:val="00FA409B"/>
    <w:rsid w:val="00FA4D3E"/>
    <w:rsid w:val="00FA576F"/>
    <w:rsid w:val="00FA5AD9"/>
    <w:rsid w:val="00FA65BD"/>
    <w:rsid w:val="00FB1DE0"/>
    <w:rsid w:val="00FB57DB"/>
    <w:rsid w:val="00FB7782"/>
    <w:rsid w:val="00FC76BD"/>
    <w:rsid w:val="00FD3006"/>
    <w:rsid w:val="00FD42CC"/>
    <w:rsid w:val="00FD5B8B"/>
    <w:rsid w:val="00FD6099"/>
    <w:rsid w:val="00FD61C8"/>
    <w:rsid w:val="00FD622D"/>
    <w:rsid w:val="00FD72D2"/>
    <w:rsid w:val="00FE047C"/>
    <w:rsid w:val="00FE0E76"/>
    <w:rsid w:val="00FE1B5A"/>
    <w:rsid w:val="00FE25AE"/>
    <w:rsid w:val="00FE522A"/>
    <w:rsid w:val="00FF0F6E"/>
    <w:rsid w:val="00FF18FC"/>
    <w:rsid w:val="00FF3226"/>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D624D0"/>
  <w15:chartTrackingRefBased/>
  <w15:docId w15:val="{EAB3D5DE-2A34-4D7A-B29E-68213387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paragraph" w:styleId="Listenabsatz">
    <w:name w:val="List Paragraph"/>
    <w:basedOn w:val="Standard"/>
    <w:uiPriority w:val="34"/>
    <w:rsid w:val="00090E2E"/>
    <w:pPr>
      <w:ind w:left="720"/>
      <w:contextualSpacing/>
    </w:pPr>
  </w:style>
  <w:style w:type="paragraph" w:customStyle="1" w:styleId="Note">
    <w:name w:val="Note"/>
    <w:basedOn w:val="Textkrper"/>
    <w:qFormat/>
    <w:rsid w:val="008C0A2E"/>
    <w:pPr>
      <w:spacing w:before="180" w:after="180" w:line="288" w:lineRule="auto"/>
    </w:pPr>
    <w:rPr>
      <w:rFonts w:ascii="Arial" w:eastAsiaTheme="minorHAnsi" w:hAnsi="Arial" w:cstheme="minorBidi"/>
      <w:sz w:val="18"/>
      <w:szCs w:val="24"/>
      <w:lang w:val="en" w:eastAsia="en-US"/>
    </w:rPr>
  </w:style>
  <w:style w:type="paragraph" w:customStyle="1" w:styleId="FirstParagraph">
    <w:name w:val="First Paragraph"/>
    <w:basedOn w:val="Textkrper"/>
    <w:next w:val="Textkrper"/>
    <w:qFormat/>
    <w:rsid w:val="006764CA"/>
    <w:pPr>
      <w:spacing w:before="120" w:after="120" w:line="288" w:lineRule="auto"/>
    </w:pPr>
    <w:rPr>
      <w:rFonts w:ascii="Arial" w:eastAsiaTheme="minorEastAsia" w:hAnsi="Arial" w:cstheme="minorBidi"/>
      <w:color w:val="000000" w:themeColor="text1"/>
      <w:sz w:val="18"/>
      <w:szCs w:val="22"/>
      <w:lang w:val="en" w:eastAsia="en-US"/>
    </w:rPr>
  </w:style>
  <w:style w:type="table" w:styleId="Tabellenraster">
    <w:name w:val="Table Grid"/>
    <w:basedOn w:val="NormaleTabelle"/>
    <w:uiPriority w:val="59"/>
    <w:rsid w:val="0070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39966">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BFF3-BB26-4D8D-828F-866B4912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5416</Words>
  <Characters>34121</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Hönnerscheid, Andreas</cp:lastModifiedBy>
  <cp:revision>18</cp:revision>
  <cp:lastPrinted>2017-02-02T08:41:00Z</cp:lastPrinted>
  <dcterms:created xsi:type="dcterms:W3CDTF">2024-05-29T08:45:00Z</dcterms:created>
  <dcterms:modified xsi:type="dcterms:W3CDTF">2024-06-14T11:44:00Z</dcterms:modified>
</cp:coreProperties>
</file>